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17145</wp:posOffset>
            </wp:positionV>
            <wp:extent cx="3960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87630</wp:posOffset>
            </wp:positionV>
            <wp:extent cx="3960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May 31, 2026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8"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-3175</wp:posOffset>
            </wp:positionV>
            <wp:extent cx="754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001-14920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139700</wp:posOffset>
            </wp:positionV>
            <wp:extent cx="396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9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43"/>
          <w:szCs w:val="43"/>
          <w:b w:val="1"/>
          <w:bCs w:val="1"/>
          <w:color w:val="auto"/>
        </w:rPr>
        <w:t>McCORMICK &amp; COMPANY, INCORPORATED</w:t>
      </w:r>
    </w:p>
    <w:p>
      <w:pPr>
        <w:spacing w:after="0" w:line="72"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0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57"/>
        </w:trPr>
        <w:tc>
          <w:tcPr>
            <w:tcW w:w="2280" w:type="dxa"/>
            <w:vAlign w:val="bottom"/>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800" w:type="dxa"/>
            <w:vAlign w:val="bottom"/>
          </w:tcPr>
          <w:p>
            <w:pPr>
              <w:spacing w:after="0"/>
              <w:rPr>
                <w:sz w:val="4"/>
                <w:szCs w:val="4"/>
                <w:color w:val="auto"/>
              </w:rPr>
            </w:pPr>
          </w:p>
        </w:tc>
      </w:tr>
      <w:tr>
        <w:trPr>
          <w:trHeight w:val="320"/>
        </w:trPr>
        <w:tc>
          <w:tcPr>
            <w:tcW w:w="47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540" w:type="dxa"/>
            <w:vAlign w:val="bottom"/>
          </w:tcPr>
          <w:p>
            <w:pPr>
              <w:spacing w:after="0"/>
              <w:rPr>
                <w:sz w:val="24"/>
                <w:szCs w:val="24"/>
                <w:color w:val="auto"/>
              </w:rPr>
            </w:pPr>
          </w:p>
        </w:tc>
        <w:tc>
          <w:tcPr>
            <w:tcW w:w="2220" w:type="dxa"/>
            <w:vAlign w:val="bottom"/>
          </w:tcPr>
          <w:p>
            <w:pPr>
              <w:jc w:val="center"/>
              <w:ind w:left="237"/>
              <w:spacing w:after="0"/>
              <w:rPr>
                <w:sz w:val="20"/>
                <w:szCs w:val="20"/>
                <w:color w:val="auto"/>
              </w:rPr>
            </w:pPr>
            <w:r>
              <w:rPr>
                <w:rFonts w:ascii="Times New Roman" w:cs="Times New Roman" w:eastAsia="Times New Roman" w:hAnsi="Times New Roman"/>
                <w:sz w:val="18"/>
                <w:szCs w:val="18"/>
                <w:b w:val="1"/>
                <w:bCs w:val="1"/>
                <w:color w:val="auto"/>
                <w:w w:val="98"/>
              </w:rPr>
              <w:t>52-0408290</w:t>
            </w:r>
          </w:p>
        </w:tc>
        <w:tc>
          <w:tcPr>
            <w:tcW w:w="1800" w:type="dxa"/>
            <w:vAlign w:val="bottom"/>
          </w:tcPr>
          <w:p>
            <w:pPr>
              <w:spacing w:after="0"/>
              <w:rPr>
                <w:sz w:val="24"/>
                <w:szCs w:val="24"/>
                <w:color w:val="auto"/>
              </w:rPr>
            </w:pPr>
          </w:p>
        </w:tc>
      </w:tr>
      <w:tr>
        <w:trPr>
          <w:trHeight w:val="149"/>
        </w:trPr>
        <w:tc>
          <w:tcPr>
            <w:tcW w:w="476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40" w:type="dxa"/>
            <w:vAlign w:val="bottom"/>
          </w:tcPr>
          <w:p>
            <w:pPr>
              <w:spacing w:after="0"/>
              <w:rPr>
                <w:sz w:val="12"/>
                <w:szCs w:val="12"/>
                <w:color w:val="auto"/>
              </w:rPr>
            </w:pPr>
          </w:p>
        </w:tc>
        <w:tc>
          <w:tcPr>
            <w:tcW w:w="4020" w:type="dxa"/>
            <w:vAlign w:val="bottom"/>
            <w:gridSpan w:val="2"/>
          </w:tcPr>
          <w:p>
            <w:pPr>
              <w:jc w:val="center"/>
              <w:ind w:right="14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760" w:type="dxa"/>
            <w:vAlign w:val="bottom"/>
            <w:gridSpan w:val="2"/>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40" w:type="dxa"/>
            <w:vAlign w:val="bottom"/>
          </w:tcPr>
          <w:p>
            <w:pPr>
              <w:spacing w:after="0"/>
              <w:rPr>
                <w:sz w:val="16"/>
                <w:szCs w:val="16"/>
                <w:color w:val="auto"/>
              </w:rPr>
            </w:pPr>
          </w:p>
        </w:tc>
        <w:tc>
          <w:tcPr>
            <w:tcW w:w="40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2"/>
        </w:trPr>
        <w:tc>
          <w:tcPr>
            <w:tcW w:w="47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24 Schilling Road, Suite 1,</w:t>
            </w: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7"/>
        </w:trPr>
        <w:tc>
          <w:tcPr>
            <w:tcW w:w="47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Hunt Valley, MD</w:t>
            </w:r>
          </w:p>
        </w:tc>
        <w:tc>
          <w:tcPr>
            <w:tcW w:w="1540" w:type="dxa"/>
            <w:vAlign w:val="bottom"/>
          </w:tcPr>
          <w:p>
            <w:pPr>
              <w:spacing w:after="0"/>
              <w:rPr>
                <w:sz w:val="19"/>
                <w:szCs w:val="19"/>
                <w:color w:val="auto"/>
              </w:rPr>
            </w:pPr>
          </w:p>
        </w:tc>
        <w:tc>
          <w:tcPr>
            <w:tcW w:w="222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21031</w:t>
            </w:r>
          </w:p>
        </w:tc>
        <w:tc>
          <w:tcPr>
            <w:tcW w:w="1800" w:type="dxa"/>
            <w:vAlign w:val="bottom"/>
          </w:tcPr>
          <w:p>
            <w:pPr>
              <w:spacing w:after="0"/>
              <w:rPr>
                <w:sz w:val="19"/>
                <w:szCs w:val="19"/>
                <w:color w:val="auto"/>
              </w:rPr>
            </w:pPr>
          </w:p>
        </w:tc>
      </w:tr>
      <w:tr>
        <w:trPr>
          <w:trHeight w:val="190"/>
        </w:trPr>
        <w:tc>
          <w:tcPr>
            <w:tcW w:w="47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40" w:type="dxa"/>
            <w:vAlign w:val="bottom"/>
          </w:tcPr>
          <w:p>
            <w:pPr>
              <w:spacing w:after="0"/>
              <w:rPr>
                <w:sz w:val="16"/>
                <w:szCs w:val="16"/>
                <w:color w:val="auto"/>
              </w:rPr>
            </w:pPr>
          </w:p>
        </w:tc>
        <w:tc>
          <w:tcPr>
            <w:tcW w:w="402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96"/>
        </w:trPr>
        <w:tc>
          <w:tcPr>
            <w:tcW w:w="2280" w:type="dxa"/>
            <w:vAlign w:val="bottom"/>
          </w:tcPr>
          <w:p>
            <w:pPr>
              <w:spacing w:after="0"/>
              <w:rPr>
                <w:sz w:val="24"/>
                <w:szCs w:val="24"/>
                <w:color w:val="auto"/>
              </w:rPr>
            </w:pPr>
          </w:p>
        </w:tc>
        <w:tc>
          <w:tcPr>
            <w:tcW w:w="8040" w:type="dxa"/>
            <w:vAlign w:val="bottom"/>
            <w:gridSpan w:val="4"/>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(410) 771-7301</w:t>
            </w:r>
          </w:p>
        </w:tc>
      </w:tr>
      <w:tr>
        <w:trPr>
          <w:trHeight w:val="81"/>
        </w:trPr>
        <w:tc>
          <w:tcPr>
            <w:tcW w:w="2280" w:type="dxa"/>
            <w:vAlign w:val="bottom"/>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r>
      <w:tr>
        <w:trPr>
          <w:trHeight w:val="763"/>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2"/>
        </w:trPr>
        <w:tc>
          <w:tcPr>
            <w:tcW w:w="22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2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34"/>
        </w:trPr>
        <w:tc>
          <w:tcPr>
            <w:tcW w:w="476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8"/>
                <w:szCs w:val="18"/>
                <w:color w:val="auto"/>
              </w:rPr>
              <w:t>Title of each class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0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MKC.V</w:t>
            </w:r>
          </w:p>
        </w:tc>
        <w:tc>
          <w:tcPr>
            <w:tcW w:w="4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Non-Voting, Par Value $0.01 per 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MKC</w:t>
            </w:r>
          </w:p>
        </w:tc>
        <w:tc>
          <w:tcPr>
            <w:tcW w:w="4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1" w:right="399" w:bottom="1440" w:gutter="0" w:footer="0" w:header="0"/>
        </w:sectPr>
      </w:pPr>
    </w:p>
    <w:bookmarkStart w:id="1" w:name="page2"/>
    <w:bookmarkEnd w:id="1"/>
    <w:p>
      <w:pPr>
        <w:ind w:left="460" w:right="12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Pr>
          <w:p>
            <w:pPr>
              <w:spacing w:after="0"/>
              <w:rPr>
                <w:sz w:val="16"/>
                <w:szCs w:val="16"/>
                <w:color w:val="auto"/>
              </w:rPr>
            </w:pPr>
          </w:p>
        </w:tc>
        <w:tc>
          <w:tcPr>
            <w:tcW w:w="360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color w:val="auto"/>
              </w:rPr>
              <w:t>Shares Outstanding</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360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color w:val="auto"/>
              </w:rPr>
              <w:t>May 31, 2026</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40" w:type="dxa"/>
            <w:vAlign w:val="bottom"/>
            <w:vMerge w:val="continue"/>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14,796,402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Common Stock Non-Voting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254,055,150</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6"/>
        </w:trPr>
        <w:tc>
          <w:tcPr>
            <w:tcW w:w="76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TABLE OF CONTENTS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2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940" w:type="dxa"/>
            <w:vAlign w:val="bottom"/>
            <w:gridSpan w:val="10"/>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r>
      <w:tr>
        <w:trPr>
          <w:trHeight w:val="479"/>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FINANCIAL STATEMENTS</w:t>
            </w:r>
          </w:p>
        </w:tc>
        <w:tc>
          <w:tcPr>
            <w:tcW w:w="7480" w:type="dxa"/>
            <w:vAlign w:val="bottom"/>
            <w:gridSpan w:val="7"/>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4"/>
                <w:szCs w:val="24"/>
                <w:color w:val="auto"/>
              </w:rPr>
            </w:pPr>
          </w:p>
        </w:tc>
      </w:tr>
      <w:tr>
        <w:trPr>
          <w:trHeight w:val="480"/>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8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74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28</w:t>
            </w:r>
          </w:p>
        </w:tc>
      </w:tr>
      <w:tr>
        <w:trPr>
          <w:trHeight w:val="479"/>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r>
      <w:tr>
        <w:trPr>
          <w:trHeight w:val="480"/>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00" w:type="dxa"/>
            <w:vAlign w:val="bottom"/>
            <w:gridSpan w:val="2"/>
          </w:tcPr>
          <w:p>
            <w:pPr>
              <w:spacing w:after="0"/>
              <w:rPr>
                <w:sz w:val="24"/>
                <w:szCs w:val="24"/>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45</w:t>
            </w:r>
          </w:p>
        </w:tc>
      </w:tr>
      <w:tr>
        <w:trPr>
          <w:trHeight w:val="20"/>
        </w:trPr>
        <w:tc>
          <w:tcPr>
            <w:tcW w:w="12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560" w:type="dxa"/>
            <w:vAlign w:val="bottom"/>
            <w:tcBorders>
              <w:right w:val="single" w:sz="8" w:color="0000FF"/>
            </w:tcBorders>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80"/>
        </w:trPr>
        <w:tc>
          <w:tcPr>
            <w:tcW w:w="2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8280" w:type="dxa"/>
            <w:vAlign w:val="bottom"/>
            <w:gridSpan w:val="11"/>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r>
      <w:tr>
        <w:trPr>
          <w:trHeight w:val="479"/>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r>
      <w:tr>
        <w:trPr>
          <w:trHeight w:val="466"/>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620" w:type="dxa"/>
            <w:vAlign w:val="bottom"/>
            <w:tcBorders>
              <w:top w:val="single" w:sz="8" w:color="0000FF"/>
            </w:tcBorders>
            <w:gridSpan w:val="3"/>
          </w:tcPr>
          <w:p>
            <w:pPr>
              <w:spacing w:after="0"/>
              <w:rPr>
                <w:sz w:val="24"/>
                <w:szCs w:val="24"/>
                <w:color w:val="auto"/>
              </w:rPr>
            </w:pPr>
          </w:p>
        </w:tc>
        <w:tc>
          <w:tcPr>
            <w:tcW w:w="7760" w:type="dxa"/>
            <w:vAlign w:val="bottom"/>
            <w:gridSpan w:val="9"/>
          </w:tcPr>
          <w:p>
            <w:pPr>
              <w:spacing w:after="0"/>
              <w:rPr>
                <w:sz w:val="24"/>
                <w:szCs w:val="24"/>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47</w:t>
            </w:r>
          </w:p>
        </w:tc>
      </w:tr>
      <w:tr>
        <w:trPr>
          <w:trHeight w:val="466"/>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0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560" w:type="dxa"/>
            <w:vAlign w:val="bottom"/>
            <w:gridSpan w:val="3"/>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50</w:t>
            </w:r>
          </w:p>
        </w:tc>
      </w:tr>
      <w:tr>
        <w:trPr>
          <w:trHeight w:val="466"/>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3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440" w:type="dxa"/>
            <w:vAlign w:val="bottom"/>
            <w:gridSpan w:val="4"/>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51</w:t>
            </w:r>
          </w:p>
        </w:tc>
      </w:tr>
      <w:tr>
        <w:trPr>
          <w:trHeight w:val="466"/>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51</w:t>
            </w:r>
          </w:p>
        </w:tc>
      </w:tr>
      <w:tr>
        <w:trPr>
          <w:trHeight w:val="466"/>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1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540" w:type="dxa"/>
            <w:vAlign w:val="bottom"/>
            <w:tcBorders>
              <w:top w:val="single" w:sz="8" w:color="0000FF"/>
            </w:tcBorders>
            <w:gridSpan w:val="2"/>
          </w:tcPr>
          <w:p>
            <w:pPr>
              <w:spacing w:after="0"/>
              <w:rPr>
                <w:sz w:val="24"/>
                <w:szCs w:val="24"/>
                <w:color w:val="auto"/>
              </w:rPr>
            </w:pPr>
          </w:p>
        </w:tc>
        <w:tc>
          <w:tcPr>
            <w:tcW w:w="7200" w:type="dxa"/>
            <w:vAlign w:val="bottom"/>
            <w:gridSpan w:val="6"/>
          </w:tcPr>
          <w:p>
            <w:pPr>
              <w:spacing w:after="0"/>
              <w:rPr>
                <w:sz w:val="24"/>
                <w:szCs w:val="24"/>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51</w:t>
            </w:r>
          </w:p>
        </w:tc>
      </w:tr>
      <w:tr>
        <w:trPr>
          <w:trHeight w:val="466"/>
        </w:trPr>
        <w:tc>
          <w:tcPr>
            <w:tcW w:w="1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52</w:t>
            </w:r>
          </w:p>
        </w:tc>
      </w:tr>
      <w:tr>
        <w:trPr>
          <w:trHeight w:val="20"/>
        </w:trPr>
        <w:tc>
          <w:tcPr>
            <w:tcW w:w="12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891"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Table of Contents</w:t>
            </w:r>
          </w:p>
        </w:tc>
        <w:tc>
          <w:tcPr>
            <w:tcW w:w="2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952"/>
        </w:trPr>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5"/>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60" w:type="dxa"/>
            <w:vAlign w:val="bottom"/>
            <w:gridSpan w:val="8"/>
          </w:tcPr>
          <w:p>
            <w:pPr>
              <w:jc w:val="center"/>
              <w:ind w:left="730"/>
              <w:spacing w:after="0"/>
              <w:rPr>
                <w:sz w:val="20"/>
                <w:szCs w:val="20"/>
                <w:color w:val="auto"/>
              </w:rPr>
            </w:pPr>
            <w:r>
              <w:rPr>
                <w:rFonts w:ascii="Times New Roman" w:cs="Times New Roman" w:eastAsia="Times New Roman" w:hAnsi="Times New Roman"/>
                <w:sz w:val="18"/>
                <w:szCs w:val="18"/>
                <w:color w:val="auto"/>
                <w:w w:val="98"/>
              </w:rPr>
              <w:t>McCORMICK &amp; COMPANY, INCORPORATED</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0" w:type="dxa"/>
            <w:vAlign w:val="bottom"/>
            <w:gridSpan w:val="9"/>
          </w:tcPr>
          <w:p>
            <w:pPr>
              <w:jc w:val="center"/>
              <w:ind w:left="390"/>
              <w:spacing w:after="0"/>
              <w:rPr>
                <w:sz w:val="20"/>
                <w:szCs w:val="20"/>
                <w:color w:val="auto"/>
              </w:rPr>
            </w:pPr>
            <w:r>
              <w:rPr>
                <w:rFonts w:ascii="Times New Roman" w:cs="Times New Roman" w:eastAsia="Times New Roman" w:hAnsi="Times New Roman"/>
                <w:sz w:val="18"/>
                <w:szCs w:val="18"/>
                <w:color w:val="auto"/>
                <w:w w:val="98"/>
              </w:rPr>
              <w:t>CONDENSED CONSOLIDATED INCOME STATEMENT (UNAUDITED)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(in millions except per share amounts)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May 31,</w:t>
            </w:r>
          </w:p>
        </w:tc>
        <w:tc>
          <w:tcPr>
            <w:tcW w:w="340" w:type="dxa"/>
            <w:vAlign w:val="bottom"/>
          </w:tcPr>
          <w:p>
            <w:pPr>
              <w:spacing w:after="0"/>
              <w:rPr>
                <w:sz w:val="21"/>
                <w:szCs w:val="21"/>
                <w:color w:val="auto"/>
              </w:rPr>
            </w:pPr>
          </w:p>
        </w:tc>
        <w:tc>
          <w:tcPr>
            <w:tcW w:w="26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 May 31,</w:t>
            </w: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w:t>
            </w:r>
          </w:p>
        </w:tc>
      </w:tr>
      <w:tr>
        <w:trPr>
          <w:trHeight w:val="229"/>
        </w:trPr>
        <w:tc>
          <w:tcPr>
            <w:tcW w:w="40" w:type="dxa"/>
            <w:vAlign w:val="bottom"/>
          </w:tcPr>
          <w:p>
            <w:pPr>
              <w:spacing w:after="0"/>
              <w:rPr>
                <w:sz w:val="19"/>
                <w:szCs w:val="19"/>
                <w:color w:val="auto"/>
              </w:rPr>
            </w:pPr>
          </w:p>
        </w:tc>
        <w:tc>
          <w:tcPr>
            <w:tcW w:w="42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w:t>
            </w:r>
          </w:p>
        </w:tc>
      </w:tr>
      <w:tr>
        <w:trPr>
          <w:trHeight w:val="223"/>
        </w:trPr>
        <w:tc>
          <w:tcPr>
            <w:tcW w:w="4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r>
      <w:tr>
        <w:trPr>
          <w:trHeight w:val="229"/>
        </w:trPr>
        <w:tc>
          <w:tcPr>
            <w:tcW w:w="40" w:type="dxa"/>
            <w:vAlign w:val="bottom"/>
          </w:tcPr>
          <w:p>
            <w:pPr>
              <w:spacing w:after="0"/>
              <w:rPr>
                <w:sz w:val="19"/>
                <w:szCs w:val="19"/>
                <w:color w:val="auto"/>
              </w:rPr>
            </w:pPr>
          </w:p>
        </w:tc>
        <w:tc>
          <w:tcPr>
            <w:tcW w:w="42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r>
      <w:tr>
        <w:trPr>
          <w:trHeight w:val="230"/>
        </w:trPr>
        <w:tc>
          <w:tcPr>
            <w:tcW w:w="40" w:type="dxa"/>
            <w:vAlign w:val="bottom"/>
          </w:tcPr>
          <w:p>
            <w:pPr>
              <w:spacing w:after="0"/>
              <w:rPr>
                <w:sz w:val="19"/>
                <w:szCs w:val="19"/>
                <w:color w:val="auto"/>
              </w:rPr>
            </w:pPr>
          </w:p>
        </w:tc>
        <w:tc>
          <w:tcPr>
            <w:tcW w:w="420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40" w:type="dxa"/>
            <w:vAlign w:val="bottom"/>
          </w:tcPr>
          <w:p>
            <w:pPr>
              <w:spacing w:after="0"/>
              <w:rPr>
                <w:sz w:val="19"/>
                <w:szCs w:val="19"/>
                <w:color w:val="auto"/>
              </w:rPr>
            </w:pPr>
          </w:p>
        </w:tc>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r>
      <w:tr>
        <w:trPr>
          <w:trHeight w:val="230"/>
        </w:trPr>
        <w:tc>
          <w:tcPr>
            <w:tcW w:w="40" w:type="dxa"/>
            <w:vAlign w:val="bottom"/>
          </w:tcPr>
          <w:p>
            <w:pPr>
              <w:spacing w:after="0"/>
              <w:rPr>
                <w:sz w:val="19"/>
                <w:szCs w:val="19"/>
                <w:color w:val="auto"/>
              </w:rPr>
            </w:pPr>
          </w:p>
        </w:tc>
        <w:tc>
          <w:tcPr>
            <w:tcW w:w="4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9"/>
        </w:trPr>
        <w:tc>
          <w:tcPr>
            <w:tcW w:w="40" w:type="dxa"/>
            <w:vAlign w:val="bottom"/>
          </w:tcPr>
          <w:p>
            <w:pPr>
              <w:spacing w:after="0"/>
              <w:rPr>
                <w:sz w:val="19"/>
                <w:szCs w:val="19"/>
                <w:color w:val="auto"/>
              </w:rPr>
            </w:pPr>
          </w:p>
        </w:tc>
        <w:tc>
          <w:tcPr>
            <w:tcW w:w="42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40" w:type="dxa"/>
            <w:vAlign w:val="bottom"/>
          </w:tcPr>
          <w:p>
            <w:pPr>
              <w:spacing w:after="0"/>
              <w:rPr>
                <w:sz w:val="19"/>
                <w:szCs w:val="19"/>
                <w:color w:val="auto"/>
              </w:rPr>
            </w:pPr>
          </w:p>
        </w:tc>
        <w:tc>
          <w:tcPr>
            <w:tcW w:w="4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Income from consolidated operations before income taxes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30"/>
        </w:trPr>
        <w:tc>
          <w:tcPr>
            <w:tcW w:w="40" w:type="dxa"/>
            <w:vAlign w:val="bottom"/>
          </w:tcPr>
          <w:p>
            <w:pPr>
              <w:spacing w:after="0"/>
              <w:rPr>
                <w:sz w:val="19"/>
                <w:szCs w:val="19"/>
                <w:color w:val="auto"/>
              </w:rPr>
            </w:pPr>
          </w:p>
        </w:tc>
        <w:tc>
          <w:tcPr>
            <w:tcW w:w="42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3"/>
        </w:trPr>
        <w:tc>
          <w:tcPr>
            <w:tcW w:w="40" w:type="dxa"/>
            <w:vAlign w:val="bottom"/>
          </w:tcPr>
          <w:p>
            <w:pPr>
              <w:spacing w:after="0"/>
              <w:rPr>
                <w:sz w:val="19"/>
                <w:szCs w:val="19"/>
                <w:color w:val="auto"/>
              </w:rPr>
            </w:pPr>
          </w:p>
        </w:tc>
        <w:tc>
          <w:tcPr>
            <w:tcW w:w="4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from consolidated operations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30"/>
        </w:trPr>
        <w:tc>
          <w:tcPr>
            <w:tcW w:w="40" w:type="dxa"/>
            <w:vAlign w:val="bottom"/>
          </w:tcPr>
          <w:p>
            <w:pPr>
              <w:spacing w:after="0"/>
              <w:rPr>
                <w:sz w:val="19"/>
                <w:szCs w:val="19"/>
                <w:color w:val="auto"/>
              </w:rPr>
            </w:pPr>
          </w:p>
        </w:tc>
        <w:tc>
          <w:tcPr>
            <w:tcW w:w="42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unconsolidated operations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4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30"/>
        </w:trPr>
        <w:tc>
          <w:tcPr>
            <w:tcW w:w="40" w:type="dxa"/>
            <w:vAlign w:val="bottom"/>
          </w:tcPr>
          <w:p>
            <w:pPr>
              <w:spacing w:after="0"/>
              <w:rPr>
                <w:sz w:val="19"/>
                <w:szCs w:val="19"/>
                <w:color w:val="auto"/>
              </w:rPr>
            </w:pPr>
          </w:p>
        </w:tc>
        <w:tc>
          <w:tcPr>
            <w:tcW w:w="420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0" w:type="dxa"/>
            <w:vAlign w:val="bottom"/>
          </w:tcPr>
          <w:p>
            <w:pPr>
              <w:spacing w:after="0"/>
              <w:rPr>
                <w:sz w:val="19"/>
                <w:szCs w:val="19"/>
                <w:color w:val="auto"/>
              </w:rPr>
            </w:pPr>
          </w:p>
        </w:tc>
        <w:tc>
          <w:tcPr>
            <w:tcW w:w="4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attributable to McCormick &amp; Company</w:t>
            </w:r>
          </w:p>
        </w:tc>
        <w:tc>
          <w:tcPr>
            <w:tcW w:w="9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40" w:type="dxa"/>
            <w:vAlign w:val="bottom"/>
          </w:tcPr>
          <w:p>
            <w:pPr>
              <w:spacing w:after="0" w:line="20" w:lineRule="exact"/>
              <w:rPr>
                <w:sz w:val="1"/>
                <w:szCs w:val="1"/>
                <w:color w:val="auto"/>
              </w:rPr>
            </w:pPr>
          </w:p>
        </w:tc>
        <w:tc>
          <w:tcPr>
            <w:tcW w:w="4200" w:type="dxa"/>
            <w:vAlign w:val="bottom"/>
            <w:tcBorders>
              <w:top w:val="single" w:sz="8" w:color="CCEEFF"/>
            </w:tcBorders>
            <w:gridSpan w:val="4"/>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per share – diluted</w:t>
            </w:r>
          </w:p>
        </w:tc>
        <w:tc>
          <w:tcPr>
            <w:tcW w:w="9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shares outstanding – basic</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0"/>
        </w:trPr>
        <w:tc>
          <w:tcPr>
            <w:tcW w:w="40" w:type="dxa"/>
            <w:vAlign w:val="bottom"/>
          </w:tcPr>
          <w:p>
            <w:pPr>
              <w:spacing w:after="0" w:line="20" w:lineRule="exact"/>
              <w:rPr>
                <w:sz w:val="1"/>
                <w:szCs w:val="1"/>
                <w:color w:val="auto"/>
              </w:rPr>
            </w:pPr>
          </w:p>
        </w:tc>
        <w:tc>
          <w:tcPr>
            <w:tcW w:w="4200" w:type="dxa"/>
            <w:vAlign w:val="bottom"/>
            <w:tcBorders>
              <w:top w:val="single" w:sz="8" w:color="CCEEFF"/>
            </w:tcBorders>
            <w:gridSpan w:val="4"/>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4"/>
          </w:tcPr>
          <w:p>
            <w:pPr>
              <w:ind w:left="20"/>
              <w:spacing w:after="0" w:line="203" w:lineRule="exact"/>
              <w:rPr>
                <w:sz w:val="20"/>
                <w:szCs w:val="20"/>
                <w:color w:val="auto"/>
              </w:rPr>
            </w:pPr>
            <w:r>
              <w:rPr>
                <w:rFonts w:ascii="Times New Roman" w:cs="Times New Roman" w:eastAsia="Times New Roman" w:hAnsi="Times New Roman"/>
                <w:sz w:val="18"/>
                <w:szCs w:val="18"/>
                <w:color w:val="auto"/>
              </w:rPr>
              <w:t>Average shares outstanding – diluted</w:t>
            </w:r>
          </w:p>
        </w:tc>
        <w:tc>
          <w:tcPr>
            <w:tcW w:w="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269.5</w:t>
            </w: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per share – voting and non-voting</w:t>
            </w: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4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934"/>
        </w:trPr>
        <w:tc>
          <w:tcPr>
            <w:tcW w:w="780" w:type="dxa"/>
            <w:vAlign w:val="bottom"/>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6060" w:type="dxa"/>
            <w:vAlign w:val="bottom"/>
            <w:gridSpan w:val="8"/>
          </w:tcPr>
          <w:p>
            <w:pPr>
              <w:ind w:left="1960"/>
              <w:spacing w:after="0"/>
              <w:rPr>
                <w:sz w:val="20"/>
                <w:szCs w:val="20"/>
                <w:color w:val="auto"/>
              </w:rPr>
            </w:pPr>
            <w:r>
              <w:rPr>
                <w:rFonts w:ascii="Times New Roman" w:cs="Times New Roman" w:eastAsia="Times New Roman" w:hAnsi="Times New Roman"/>
                <w:sz w:val="18"/>
                <w:szCs w:val="18"/>
                <w:color w:val="auto"/>
              </w:rPr>
              <w:t>McCORMICK &amp; COMPANY, INCORPORATED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960" w:type="dxa"/>
            <w:vAlign w:val="bottom"/>
            <w:gridSpan w:val="12"/>
          </w:tcPr>
          <w:p>
            <w:pPr>
              <w:ind w:left="1100"/>
              <w:spacing w:after="0"/>
              <w:rPr>
                <w:sz w:val="20"/>
                <w:szCs w:val="20"/>
                <w:color w:val="auto"/>
              </w:rPr>
            </w:pPr>
            <w:r>
              <w:rPr>
                <w:rFonts w:ascii="Times New Roman" w:cs="Times New Roman" w:eastAsia="Times New Roman" w:hAnsi="Times New Roman"/>
                <w:sz w:val="18"/>
                <w:szCs w:val="18"/>
                <w:color w:val="auto"/>
              </w:rPr>
              <w:t>CONDENSED CONSOLIDATED STATEMENT OF COMPREHENSIVE INCOME (UNAUDITED)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7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Three months ended May 31,</w:t>
            </w:r>
          </w:p>
        </w:tc>
        <w:tc>
          <w:tcPr>
            <w:tcW w:w="320" w:type="dxa"/>
            <w:vAlign w:val="bottom"/>
          </w:tcPr>
          <w:p>
            <w:pPr>
              <w:spacing w:after="0"/>
              <w:rPr>
                <w:sz w:val="21"/>
                <w:szCs w:val="21"/>
                <w:color w:val="auto"/>
              </w:rPr>
            </w:pPr>
          </w:p>
        </w:tc>
        <w:tc>
          <w:tcPr>
            <w:tcW w:w="26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 May 31,</w:t>
            </w:r>
          </w:p>
        </w:tc>
      </w:tr>
      <w:tr>
        <w:trPr>
          <w:trHeight w:val="234"/>
        </w:trPr>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29"/>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175"/>
        </w:trPr>
        <w:tc>
          <w:tcPr>
            <w:tcW w:w="50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into earnings upon acquisition of controlling</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Change in derivative financial instruments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components of pension and other postretirement plans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06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Tax (expense) benefit</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3"/>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r>
      <w:tr>
        <w:trPr>
          <w:trHeight w:val="20"/>
        </w:trPr>
        <w:tc>
          <w:tcPr>
            <w:tcW w:w="7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506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Attributable to:</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5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0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McCormick &amp; Company shareholders' equity</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70" w:right="359" w:bottom="1440" w:gutter="0" w:footer="0" w:header="0"/>
        </w:sectPr>
      </w:pPr>
    </w:p>
    <w:bookmarkStart w:id="5" w:name="page6"/>
    <w:bookmarkEnd w:id="5"/>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May 31,</w:t>
            </w:r>
          </w:p>
        </w:tc>
        <w:tc>
          <w:tcPr>
            <w:tcW w:w="200" w:type="dxa"/>
            <w:vAlign w:val="bottom"/>
          </w:tcPr>
          <w:p>
            <w:pPr>
              <w:spacing w:after="0"/>
              <w:rPr>
                <w:sz w:val="17"/>
                <w:szCs w:val="17"/>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November 30,</w:t>
            </w:r>
          </w:p>
        </w:tc>
      </w:tr>
      <w:tr>
        <w:trPr>
          <w:trHeight w:val="234"/>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accounts receivable, net of allowances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r>
      <w:tr>
        <w:trPr>
          <w:trHeight w:val="230"/>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r>
      <w:tr>
        <w:trPr>
          <w:trHeight w:val="229"/>
        </w:trPr>
        <w:tc>
          <w:tcPr>
            <w:tcW w:w="798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Raw materials and work-in-process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r>
      <w:tr>
        <w:trPr>
          <w:trHeight w:val="223"/>
        </w:trPr>
        <w:tc>
          <w:tcPr>
            <w:tcW w:w="7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r>
      <w:tr>
        <w:trPr>
          <w:trHeight w:val="229"/>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3"/>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w:t>
            </w:r>
          </w:p>
        </w:tc>
      </w:tr>
      <w:tr>
        <w:trPr>
          <w:trHeight w:val="229"/>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r>
      <w:tr>
        <w:trPr>
          <w:trHeight w:val="230"/>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5,301.3</w:t>
            </w:r>
          </w:p>
        </w:tc>
      </w:tr>
      <w:tr>
        <w:trPr>
          <w:trHeight w:val="229"/>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3,293.1</w:t>
            </w:r>
          </w:p>
        </w:tc>
      </w:tr>
      <w:tr>
        <w:trPr>
          <w:trHeight w:val="230"/>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r>
      <w:tr>
        <w:trPr>
          <w:trHeight w:val="223"/>
        </w:trPr>
        <w:tc>
          <w:tcPr>
            <w:tcW w:w="79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13,200.4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r>
      <w:tr>
        <w:trPr>
          <w:trHeight w:val="230"/>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w:t>
            </w: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23"/>
        </w:trPr>
        <w:tc>
          <w:tcPr>
            <w:tcW w:w="7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3,062.2</w:t>
            </w: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3,105.8</w:t>
            </w:r>
          </w:p>
        </w:tc>
      </w:tr>
      <w:tr>
        <w:trPr>
          <w:trHeight w:val="229"/>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23"/>
        </w:trPr>
        <w:tc>
          <w:tcPr>
            <w:tcW w:w="79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7,432.3</w:t>
            </w: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r>
      <w:tr>
        <w:trPr>
          <w:trHeight w:val="230"/>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Common stock non-voting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w:t>
            </w:r>
          </w:p>
        </w:tc>
      </w:tr>
      <w:tr>
        <w:trPr>
          <w:trHeight w:val="229"/>
        </w:trPr>
        <w:tc>
          <w:tcPr>
            <w:tcW w:w="7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3,816.4</w:t>
            </w:r>
          </w:p>
        </w:tc>
      </w:tr>
      <w:tr>
        <w:trPr>
          <w:trHeight w:val="230"/>
        </w:trPr>
        <w:tc>
          <w:tcPr>
            <w:tcW w:w="7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23"/>
        </w:trPr>
        <w:tc>
          <w:tcPr>
            <w:tcW w:w="79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McCormick &amp; Company shareholders’ equity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5,736.5</w:t>
            </w: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798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5,768.1</w:t>
            </w:r>
          </w:p>
        </w:tc>
      </w:tr>
      <w:tr>
        <w:trPr>
          <w:trHeight w:val="248"/>
        </w:trPr>
        <w:tc>
          <w:tcPr>
            <w:tcW w:w="79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 w:name="page7"/>
    <w:bookmarkEnd w:id="6"/>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40" w:right="2660"/>
        <w:spacing w:after="0" w:line="275" w:lineRule="auto"/>
        <w:rPr>
          <w:sz w:val="20"/>
          <w:szCs w:val="20"/>
          <w:color w:val="auto"/>
        </w:rPr>
      </w:pPr>
      <w:r>
        <w:rPr>
          <w:rFonts w:ascii="Times New Roman" w:cs="Times New Roman" w:eastAsia="Times New Roman" w:hAnsi="Times New Roman"/>
          <w:sz w:val="18"/>
          <w:szCs w:val="18"/>
          <w:color w:val="auto"/>
        </w:rPr>
        <w:t>McCORMICK &amp; COMPANY, INCORPORATED CONDENSED CONSOLIDATED CASH FLOW STATEMENT (UNAUDITED) (in millions)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 May 31,</w:t>
            </w:r>
          </w:p>
        </w:tc>
        <w:tc>
          <w:tcPr>
            <w:tcW w:w="0" w:type="dxa"/>
            <w:vAlign w:val="bottom"/>
          </w:tcPr>
          <w:p>
            <w:pPr>
              <w:spacing w:after="0"/>
              <w:rPr>
                <w:sz w:val="1"/>
                <w:szCs w:val="1"/>
                <w:color w:val="auto"/>
              </w:rPr>
            </w:pPr>
          </w:p>
        </w:tc>
      </w:tr>
      <w:tr>
        <w:trPr>
          <w:trHeight w:val="234"/>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 provided by operating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inventory fair value adjustments associated with acquisition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from unconsolidated operations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remeasurement of previously held equity interest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businesses acquired)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7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Trade 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from unconsolidated affiliates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 (including software)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borrowings (net of debt issuance costs of $1.1)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financing fees paid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repayments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withheld and paid on employee stock awards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stock acquired by purchase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 to joint venture partner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 w:name="page8"/>
    <w:bookmarkEnd w:id="7"/>
    <w:p>
      <w:pPr>
        <w:ind w:left="8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Common</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2"/>
                <w:szCs w:val="12"/>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2"/>
                <w:szCs w:val="12"/>
                <w:color w:val="auto"/>
              </w:rPr>
            </w:pPr>
          </w:p>
        </w:tc>
        <w:tc>
          <w:tcPr>
            <w:tcW w:w="12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Accumulated Other</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Non-controlling</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Non-Voting</w:t>
            </w: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Stock Shares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Earnings</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Interests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8"/>
        </w:trPr>
        <w:tc>
          <w:tcPr>
            <w:tcW w:w="384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color w:val="auto"/>
              </w:rPr>
              <w:t>Three months ended May 31, 2026</w:t>
            </w: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February 28, 2026</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7,556.1</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attributable to McCormick &amp; Company</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and retired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Equal exchange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Six months ended May 31, 2026</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November 30, 2025</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attributable to McCormick &amp; Company</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0" w:type="dxa"/>
            <w:vAlign w:val="bottom"/>
          </w:tcPr>
          <w:p>
            <w:pPr>
              <w:spacing w:after="0"/>
              <w:rPr>
                <w:sz w:val="1"/>
                <w:szCs w:val="1"/>
                <w:color w:val="auto"/>
              </w:rPr>
            </w:pPr>
          </w:p>
        </w:tc>
      </w:tr>
      <w:tr>
        <w:trPr>
          <w:trHeight w:val="175"/>
        </w:trPr>
        <w:tc>
          <w:tcPr>
            <w:tcW w:w="38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Fair value of non-controlling interest recognized at</w:t>
            </w:r>
          </w:p>
        </w:tc>
        <w:tc>
          <w:tcPr>
            <w:tcW w:w="9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9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purchased and retired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Equal exchange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79" w:right="359" w:bottom="1440" w:gutter="0" w:footer="0" w:header="0"/>
        </w:sectPr>
      </w:pPr>
    </w:p>
    <w:bookmarkStart w:id="8" w:name="page9"/>
    <w:bookmarkEnd w:id="8"/>
    <w:p>
      <w:pPr>
        <w:ind w:left="8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Common</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Common</w:t>
            </w:r>
          </w:p>
        </w:tc>
        <w:tc>
          <w:tcPr>
            <w:tcW w:w="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2"/>
                <w:szCs w:val="12"/>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2"/>
                <w:szCs w:val="12"/>
                <w:color w:val="auto"/>
              </w:rPr>
            </w:pPr>
          </w:p>
        </w:tc>
        <w:tc>
          <w:tcPr>
            <w:tcW w:w="12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Accumulated Other</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Non-controlling</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Non-Voting</w:t>
            </w: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Stock Shares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Earnings</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Interests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88"/>
        </w:trPr>
        <w:tc>
          <w:tcPr>
            <w:tcW w:w="3840" w:type="dxa"/>
            <w:vAlign w:val="bottom"/>
            <w:gridSpan w:val="4"/>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Three months ended May 31, 2025</w:t>
            </w:r>
          </w:p>
        </w:tc>
        <w:tc>
          <w:tcPr>
            <w:tcW w:w="9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Balance, February 28, 2025</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5,449.7</w:t>
            </w:r>
          </w:p>
        </w:tc>
        <w:tc>
          <w:tcPr>
            <w:tcW w:w="0" w:type="dxa"/>
            <w:vAlign w:val="bottom"/>
          </w:tcPr>
          <w:p>
            <w:pPr>
              <w:spacing w:after="0"/>
              <w:rPr>
                <w:sz w:val="1"/>
                <w:szCs w:val="1"/>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McCormick &amp; Company</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purchased and retired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Equal exchange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2025</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Six months ended May 31, 2025</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November 30, 2024</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0" w:type="dxa"/>
            <w:vAlign w:val="bottom"/>
          </w:tcPr>
          <w:p>
            <w:pPr>
              <w:spacing w:after="0"/>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attributable to McCormick &amp; Company</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0"/>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29"/>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3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and retired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3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Equal exchange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Balance, May 31, 2025</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5,630.4</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79" w:right="359" w:bottom="1440" w:gutter="0" w:footer="0" w:header="0"/>
        </w:sectPr>
      </w:pPr>
    </w:p>
    <w:bookmarkStart w:id="9" w:name="page10"/>
    <w:bookmarkEnd w:id="9"/>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McCORMICK &amp; COMPANY, INCORPORATED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6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the information and notes required by United States Generally Accepted Accounting Principles (GAAP) for complete financial statements. In our opinion, the accompanying condensed consolidated financial statements contain all adjustments, which are of a normal and recurring nature, necessary to present fairly the financial position and the results of operations for the interim periods presented.</w:t>
      </w:r>
    </w:p>
    <w:p>
      <w:pPr>
        <w:spacing w:after="0" w:line="13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the current period presentation. Net income attributable to noncontrolling interests is presented separately on the condensed consolidated income statement. Amounts from prior periods previously included in Income from unconsolidated operations are reflected in Net income attributable to noncontrolling interests.</w:t>
      </w:r>
    </w:p>
    <w:p>
      <w:pPr>
        <w:spacing w:after="0" w:line="13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results of consolidated operations for the six-month period ended May 31, 2026 are not necessarily indicative of the results to be expected for the full year. Historically, our net sales, net income, and cash flow from operations have been lower in the first half of the fiscal year and higher in the second half of the fiscal year. This historical increase in the second half of the year has largely been due to the consumer business cycle in the United States (U.S.), where customers typically purchase more of our products in the fourth quarter due to the Thanksgiving and Christmas holiday seasons.</w:t>
      </w:r>
    </w:p>
    <w:p>
      <w:pPr>
        <w:spacing w:after="0" w:line="123" w:lineRule="exact"/>
        <w:rPr>
          <w:sz w:val="20"/>
          <w:szCs w:val="20"/>
          <w:color w:val="auto"/>
        </w:rPr>
      </w:pPr>
    </w:p>
    <w:p>
      <w:pPr>
        <w:ind w:right="840"/>
        <w:spacing w:after="0" w:line="266"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notes included in our Annual Report on Form 10-K for the year ended November 30, 2025.</w:t>
      </w:r>
    </w:p>
    <w:p>
      <w:pPr>
        <w:spacing w:after="0" w:line="1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January 2, 2026, we completed the acquisition of an additional 25% ownership interest in McCormick de Mexico from Grupo Herdez, which increased our ownership to a 75% controlling interest. The results of McCormick de Mexico’s operations have been fully consolidated in our financial statements from the date the controlling interest was acquired, which is more fully described in Note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Payable - Supplier Finance Program</w:t>
      </w:r>
    </w:p>
    <w:p>
      <w:pPr>
        <w:spacing w:after="0" w:line="16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As more fully described in our Annual Report on Form 10-K for the year ended November 30, 2025, we participate in a Supply Chain Financing (SCF) program with several global financial institutions (SCF Banks). Under the SCF program, qualifying suppliers may elect to sell their receivables from us to an SCF Bank, enabling participating suppliers to negotiate their receivables sales arrangements directly with the respective SCF Bank. We are not party to those agreements and have no economic interest in a supplier’s decision to sell a receivable.</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program are recorded within the line entitled Trade accounts payable in our condensed consolidated balance sheets, and the associated payments are included in operating activities within our consolidated statements of cash flows. As of</w:t>
      </w:r>
    </w:p>
    <w:p>
      <w:pPr>
        <w:ind w:right="580"/>
        <w:spacing w:after="0" w:line="243" w:lineRule="auto"/>
        <w:rPr>
          <w:sz w:val="20"/>
          <w:szCs w:val="20"/>
          <w:color w:val="auto"/>
        </w:rPr>
      </w:pPr>
      <w:r>
        <w:rPr>
          <w:rFonts w:ascii="Times New Roman" w:cs="Times New Roman" w:eastAsia="Times New Roman" w:hAnsi="Times New Roman"/>
          <w:sz w:val="18"/>
          <w:szCs w:val="18"/>
          <w:color w:val="auto"/>
        </w:rPr>
        <w:t>May 31, 2026 and November 30, 2025, the amounts due to suppliers participating in the SCF program and included in Trade accounts payable were approximately $314.9 million and $332.1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Tariffs</w:t>
      </w:r>
    </w:p>
    <w:p>
      <w:pPr>
        <w:spacing w:after="0" w:line="16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On February 20, 2026, the U.S. Supreme Court ruled that certain tariffs imposed under the International Emergency Economic Powers Act (IEEPA) by the executive branch are not lawful. On March 4, 2026, the Court of International Trade (CIT) ordered U.S. Customs and Border Protection (CBP) to begin the refund process for all importers who were subject to IEEPA tariffs. On April 20, 2026, CBP established an online portal through which companies can submit IEEPA tariff refund requests. We submitted our refund request on April 28, 2026, for reimbursement in the amount of $30.8 million, reflecting the amount of IEEPA tariffs we determined were paid while such tariffs were in effect from February 2025 until February 2026.</w:t>
      </w:r>
    </w:p>
    <w:p>
      <w:pPr>
        <w:spacing w:after="0" w:line="141"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8"/>
          <w:szCs w:val="18"/>
          <w:color w:val="auto"/>
        </w:rPr>
        <w:t>We believe it is probable that we will recover the IEEPA tariffs previously paid and recorded a receivable of $30.8 million under the loss recovery accounting model. During the three months ended May 31, 2026, we reduced cost of goods sold by $27.6 million, effectively reversing the IEEPA tariff expense previously recognized in connection with inventory sold to customers since the tariffs were enacted in the first quarter of 2025, and reduced the carrying value of inventory by $3.2 million.</w:t>
      </w:r>
    </w:p>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uncertainty remains regarding the ultimate outcome and timing of recovery of these refunds, and any anticipated refunds may be delayed, reduced, or denied. The CIT order has been appealed by the U.S government, and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0" w:name="page11"/>
    <w:bookmarkEnd w:id="10"/>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a successful appeal could delay, reduce or deny the funds described above. To the extent we are unable to recover tariffs previously paid, our results of operations, cash flows, and financial condition could be adversely affected. We will continue to monitor U.S. tariff-related developments and any associated impacts on our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Pronouncements Recently Adopted</w:t>
      </w:r>
    </w:p>
    <w:p>
      <w:pPr>
        <w:spacing w:after="0" w:line="16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that requires entities to report incremental information about significant segment expenses included in a segment’s profit or loss measure as well as the position and title of the chief operating decision maker (CODM). The guidance also requires interim disclosures related to reportable segment profit or loss that had previously only been disclosed annually. The new standard requirements were effective for our annual period ending November 30, 2025 and are effective for interim periods of our fiscal year ending November 30, 2026. We include significant segment expenses and the required disclosure about our CODM in Note 11. The adoption of the new standard did not have a material impact on our consolidated financial statements.</w:t>
      </w:r>
    </w:p>
    <w:p>
      <w:pPr>
        <w:spacing w:after="0" w:line="12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that better aligns the hedge accounting model with risk management activities. The guidance is effective for our fiscal year ending November 30, 2028, with early adoption permitted. We elected to adopt the guidance effective December 1, 2025 and applied the amendments prospectively. We have designated all hedge positions as of December 1, 2025 under the updated guidance, which did not have a material impact on our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2.</w:t>
        <w:tab/>
        <w:t>MERGERS AND ACQUISITIONS</w:t>
      </w:r>
    </w:p>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Acquisitions are part of our strategy to increase sales and profits. The McCormick de Mexico and Jurado acquisitions described below were recorded as business combinations with the excess of total consideration over the estimated fair value of assets acquired and liabilities assumed recorded as goodwill.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McCormick de Mexico</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2, 2026, we completed the acquisition of an additional 25% ownership interest in McCormick de Mexico from Grupo Herdez, for a purchase price of $750 million, which increased our ownership to a 75% controlling interest. McCormick de Mexico is a prominent food company in Mexico, with a broad portfolio, including mayonnaise, spices, marmalades, mustard, hot sauce, and tea, sold under McCormick brands. We believe the acquisition creates opportunities for further growth in the Mexican market and provides a strategic platform for further expansion in Latin America. The purchase of the additional 25% ownership interest was funded through a combination of cash on hand and commercial paper borrowings.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the acquisition of the additional ownership interest, we accounted for our 50% ownership interest in McCormick de Mexico as an equity method investment and recorded our proportional share of earnings as income from unconsolidated operations. The acquisition of the additional ownership interest resulted in the consolidation of McCormick de Mexico's financial results, which have been included as a component of our consumer and flavor solutions segments in our financial statements from the date of acquisition. The earnings attributable to the 25% ownership retained by Grupo Herdez are recorded as net income attributable to noncontrolling interests.</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result of the consolidation, the carrying value of our previously held 50% ownership interest was remeasured to fair value resulting in a pre-tax and after-tax gain of $866.8 million which was recognized in Income from unconsolidated operations. The gain represents the remeasurement of our previously held 50% ownership interest over its carrying value at the date of acquisition, less $44.8 million previously recorded in Accumulated other comprehensive loss primarily related to foreign currency translation adjustments. The fair value of the previously held equity interest was estimated based on a valuation derived from estimated fair value assessments and assumptions. This valuation was based on the implied value derived from the consideration transferred for the additional 25% ownership interest, adjusted for the control premium, and was supported by a market approach as well as an overall enterprise level discounted cash flow.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total consideration for the acquisition of the additional ownership interest in McCormick de Mexico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31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560" w:type="dxa"/>
            <w:vAlign w:val="bottom"/>
          </w:tcPr>
          <w:p>
            <w:pPr>
              <w:spacing w:after="0"/>
              <w:rPr>
                <w:sz w:val="21"/>
                <w:szCs w:val="2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settlement of preexisting amounts due to McCormick de Mexico</w:t>
            </w:r>
          </w:p>
        </w:tc>
        <w:tc>
          <w:tcPr>
            <w:tcW w:w="3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560" w:type="dxa"/>
            <w:vAlign w:val="bottom"/>
          </w:tcPr>
          <w:p>
            <w:pPr>
              <w:spacing w:after="0"/>
              <w:rPr>
                <w:sz w:val="19"/>
                <w:szCs w:val="19"/>
                <w:color w:val="auto"/>
              </w:rPr>
            </w:pPr>
          </w:p>
        </w:tc>
      </w:tr>
      <w:tr>
        <w:trPr>
          <w:trHeight w:val="230"/>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previously held equity interest</w:t>
            </w:r>
          </w:p>
        </w:tc>
        <w:tc>
          <w:tcPr>
            <w:tcW w:w="3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560" w:type="dxa"/>
            <w:vAlign w:val="bottom"/>
          </w:tcPr>
          <w:p>
            <w:pPr>
              <w:spacing w:after="0"/>
              <w:rPr>
                <w:sz w:val="19"/>
                <w:szCs w:val="19"/>
                <w:color w:val="auto"/>
              </w:rPr>
            </w:pPr>
          </w:p>
        </w:tc>
      </w:tr>
      <w:tr>
        <w:trPr>
          <w:trHeight w:val="223"/>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1560" w:type="dxa"/>
            <w:vAlign w:val="bottom"/>
          </w:tcPr>
          <w:p>
            <w:pPr>
              <w:spacing w:after="0"/>
              <w:rPr>
                <w:sz w:val="19"/>
                <w:szCs w:val="19"/>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858"/>
        </w:trPr>
        <w:tc>
          <w:tcPr>
            <w:tcW w:w="5460" w:type="dxa"/>
            <w:vAlign w:val="bottom"/>
          </w:tcPr>
          <w:p>
            <w:pPr>
              <w:spacing w:after="0"/>
              <w:rPr>
                <w:sz w:val="24"/>
                <w:szCs w:val="24"/>
                <w:color w:val="auto"/>
              </w:rPr>
            </w:pPr>
          </w:p>
        </w:tc>
        <w:tc>
          <w:tcPr>
            <w:tcW w:w="314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1" w:name="page12"/>
    <w:bookmarkEnd w:id="11"/>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total consideration for the additional ownership interest in McCormick de Mexico was allocated to the underlying assets and liabilities based upon their preliminary estimated fair values at the date of acquisition. We estimated the fair values based on independent valuations, discounted cash flow analyses, quoted market prices, and estimates made by management, which are subject to finalization. The following is a summary of the preliminary allocation as of May 31, 2026, of the total consideration which we expect to be finalized during the fiscal year ending November 30, 2026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32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noncontrolling interest</w:t>
            </w:r>
          </w:p>
        </w:tc>
        <w:tc>
          <w:tcPr>
            <w:tcW w:w="3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1,751.3</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determined the carrying values of cash, trade receivables and payables, as well as certain other current and non-current assets and liabilities, represented the fair values. The property, plant and equipment fair value was estimated using the replacement cost method.</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Inventories acquired consist of raw materials and finished goods inventory that were valued using a net realizable value approach, which resulted in a step-up of $15.0 million that was recognized in cost of goods sold as the related inventory was sold.</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Intangible assets include a reacquired right indefinite-lived intangible asset with an estimated fair value of $1,470.0 million and customer relationships with a weighted-average life of 15 years and an estimated fair value of $130.0 million. The reacquired right represents the value of McCormick's reacquisition of contractual rights previously granted to Grupo Herdez as part of the joint venture agreement giving McCormick de Mexico the perpetual and exclusive licensing right to sell specified McCormick branded products in Mexico. This right is expected to contribute cash flows for the foreseeable future and does not have substantive limiting factors. The fair value of the reacquired right was estimated using the multi-period excess earnings method of the income approach. The fair value of customer relationships was estimated using the distributor method, a variation of the multi-purpose excess earnings method that uses distributor-based inputs for margins and contributory asset charges. Some of the more significant assumptions inherent in developing the estimated fair values included the estimated annual net cash flows for each intangible asset (including net sales, operating profit margin, and working capital/contributory asset charges), a discount rate that appropriately reflects the risk inherent in each future cash flow stream, the assessment of each asset’s life cycle, and competitive trends, as well as other factors. The assumptions used in the financial forecasts were determined using historical data, supplemented by current and anticipated market conditions, estimated product category growth rates, management plans, and market comparables.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Goodwill, which represents the value associated with the expected synergies, acquired workforce and future growth opportunities anticipated to be realized as a combined company, is not deductible for tax purposes. Goodwill will be allocated to our consumer and flavor solutions segments when the allocation of the consideration to the acquired net assets is finalized.</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Deferred tax liabilities primarily represent the expected future tax consequences of temporary differences between the fair value of the assets acquired and liabilities assumed and their tax bases.</w:t>
      </w:r>
    </w:p>
    <w:p>
      <w:pPr>
        <w:spacing w:after="0" w:line="108" w:lineRule="exact"/>
        <w:rPr>
          <w:sz w:val="20"/>
          <w:szCs w:val="20"/>
          <w:color w:val="auto"/>
        </w:rPr>
      </w:pPr>
    </w:p>
    <w:p>
      <w:pPr>
        <w:ind w:right="2140"/>
        <w:spacing w:after="0" w:line="261" w:lineRule="auto"/>
        <w:rPr>
          <w:sz w:val="20"/>
          <w:szCs w:val="20"/>
          <w:color w:val="auto"/>
        </w:rPr>
      </w:pPr>
      <w:r>
        <w:rPr>
          <w:rFonts w:ascii="Times New Roman" w:cs="Times New Roman" w:eastAsia="Times New Roman" w:hAnsi="Times New Roman"/>
          <w:sz w:val="18"/>
          <w:szCs w:val="18"/>
          <w:color w:val="auto"/>
        </w:rPr>
        <w:t>The fair value of the noncontrolling interest was estimated based on a valuation derived from estimated fair value assessments and assumptions. This valuation was based on the implied value derived from the consideration transferred for the additional 25% ownership interest, adjusted for the control premium, and was supported by a market approach as well as an overall enterprise level discounted cash flow.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2" w:name="page13"/>
    <w:bookmarkEnd w:id="12"/>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we recorded immaterial adjustments to provisional amounts recognized at the acquisition date.</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transacts in the ordinary course of business with Grupo Herdez, a related party that owns a 25% noncontrolling interest in McCormick de Mexico. Contractual arrangements with Grupo Herdez include payments from McCormick de Mexico for (i) supervision and strategic management services based on a percentage of net sales of products registered under the McCormick brand and (ii) exclusive distribution services, including invoicing to customers, based on a percentage of net sales.</w:t>
      </w:r>
    </w:p>
    <w:p>
      <w:pPr>
        <w:spacing w:after="0" w:line="12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For the three and six months ended May 31, 2026, McCormick de Mexico incurred expenses of $34.1 million and $66.8 million, respectively, related to transactions with Grupo Herdez. As of May 31, 2026, accounts receivable included $115.7 million due from Grupo Herdez and accounts payable included $15.4 million due to Grupo Herdez. For the three and six months ended May 31, 2026, we paid a dividend to Grupo Herdez in the amount of $8.4 million.</w:t>
      </w:r>
    </w:p>
    <w:p>
      <w:pPr>
        <w:spacing w:after="0" w:line="104" w:lineRule="exact"/>
        <w:rPr>
          <w:sz w:val="20"/>
          <w:szCs w:val="20"/>
          <w:color w:val="auto"/>
        </w:rPr>
      </w:pPr>
    </w:p>
    <w:p>
      <w:pPr>
        <w:ind w:right="720"/>
        <w:spacing w:after="0" w:line="438" w:lineRule="auto"/>
        <w:rPr>
          <w:sz w:val="20"/>
          <w:szCs w:val="20"/>
          <w:color w:val="auto"/>
        </w:rPr>
      </w:pPr>
      <w:r>
        <w:rPr>
          <w:rFonts w:ascii="Times New Roman" w:cs="Times New Roman" w:eastAsia="Times New Roman" w:hAnsi="Times New Roman"/>
          <w:sz w:val="18"/>
          <w:szCs w:val="18"/>
          <w:color w:val="auto"/>
        </w:rPr>
        <w:t xml:space="preserve">For the three and six months ended May 31, 2026, McCormick de Mexico added $204.8 million and $403.7 million, respectively, to our net sales. </w:t>
      </w:r>
      <w:r>
        <w:rPr>
          <w:rFonts w:ascii="Times New Roman" w:cs="Times New Roman" w:eastAsia="Times New Roman" w:hAnsi="Times New Roman"/>
          <w:sz w:val="18"/>
          <w:szCs w:val="18"/>
          <w:i w:val="1"/>
          <w:iCs w:val="1"/>
          <w:color w:val="auto"/>
        </w:rPr>
        <w:t>Supplemental Pro Forma Information</w:t>
      </w:r>
    </w:p>
    <w:p>
      <w:pPr>
        <w:spacing w:after="0" w:line="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unaudited supplemental pro forma consolidated net sales as if the McCormick de Mexico acquisition had occurred on December 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spacing w:after="0"/>
              <w:rPr>
                <w:sz w:val="16"/>
                <w:szCs w:val="16"/>
                <w:color w:val="auto"/>
              </w:rPr>
            </w:pPr>
          </w:p>
        </w:tc>
        <w:tc>
          <w:tcPr>
            <w:tcW w:w="278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color w:val="auto"/>
              </w:rPr>
              <w:t>Three months ended May 31,</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color w:val="auto"/>
              </w:rPr>
              <w:t>Six months ended May 31,</w:t>
            </w:r>
          </w:p>
        </w:tc>
        <w:tc>
          <w:tcPr>
            <w:tcW w:w="640" w:type="dxa"/>
            <w:vAlign w:val="bottom"/>
          </w:tcPr>
          <w:p>
            <w:pPr>
              <w:spacing w:after="0"/>
              <w:rPr>
                <w:sz w:val="16"/>
                <w:szCs w:val="16"/>
                <w:color w:val="auto"/>
              </w:rPr>
            </w:pPr>
          </w:p>
        </w:tc>
      </w:tr>
      <w:tr>
        <w:trPr>
          <w:trHeight w:val="203"/>
        </w:trPr>
        <w:tc>
          <w:tcPr>
            <w:tcW w:w="4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Pr>
          <w:p>
            <w:pPr>
              <w:spacing w:after="0"/>
              <w:rPr>
                <w:sz w:val="17"/>
                <w:szCs w:val="17"/>
                <w:color w:val="auto"/>
              </w:rPr>
            </w:pPr>
          </w:p>
        </w:tc>
      </w:tr>
      <w:tr>
        <w:trPr>
          <w:trHeight w:val="23"/>
        </w:trPr>
        <w:tc>
          <w:tcPr>
            <w:tcW w:w="42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1,936.6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1,869.7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3,897.1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3,669.0</w:t>
            </w: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consolidated net sales gives effect to actual revenues prior to the McCormick de Mexico acquisition, adjusted to exclude the elimination of intercompany transactions. Other than the impact of the gain on remeasurement of previously held equity interest and transaction and integration costs (as discussed above), supplemental pro forma net earnings, assuming the McCormick de Mexico acquisition had occurred on December 1, 2024, would not be materially different from the results reported during the three and six months ended May 31, 2025 and 2026.</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information has been prepared for comparative purposes only, in accordance with the acquisition method of accounting, and is not necessarily indicative of the results of operations that would have occurred if the McCormick de Mexico acquisition had been completed on the date indicated, nor is it indicative of our future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Jurado</w:t>
      </w:r>
    </w:p>
    <w:p>
      <w:pPr>
        <w:spacing w:after="0" w:line="16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March 31, 2025, we purchased substantially all of the assets of Jurado, Inc. (Jurado), supplier of chili mash located in Las Cruces, New Mexico. The purchase price for Jurado was $38.1 million and the determination of the fair value of the acquired Jurado assets was finalized during 2025. The results of Jurado’s operations have been included in our financial statements from the date of the acquisition and are not material.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Pending Merger with Unilever Foods Business</w:t>
      </w:r>
    </w:p>
    <w:p>
      <w:pPr>
        <w:spacing w:after="0" w:line="16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March 31, 2026, we entered into an Agreement and Plan of Merger (the “Merger Agreement”) with Unilever PLC (“Unilever”) to combine with the Unilever Foods business (“Unilever Foods”), a transaction that will create a global flavor leader in attractive and high-growth categories.</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facilitate the transaction, Unilever is expected to separate its Unilever Foods business, excluding its foods businesses in India, Nepal and Portugal, as well as its Lifestyle &amp; Nutrition business, Buavita business and Lipton Ready-to-Drink business. Under the terms of the Merger Agreement, we will issue voting and non-voting securities to Unilever shareholders and Unilever in the same proportion as is currently held by our shareholders. The transactions contemplated by the Merger Agreement are expected to result in current Unilever shareholders owning approximately 55.1% of the combined company, our current shareholders owning approximately 35.0% of the combined company, and Unilever retaining up to approximately 9.9% of the total outstanding equity of the combined company, assuming Unilever does not elect to dispose of such interest to its shareholders in accordance with the Merger Agreement. Unilever will also receive a one-time $15.7 billion cash payment, subject to certain adjustments. The distribution of shares of Unilever Foods to Unilever’s shareholders and the pending transaction, taken together, are intended to qualify as a Reverse Morris Trust transaction that is generally tax-free to Unilever’s shareholders for U.S. federal income tax purposes, except to the extent that cash is paid to Unilever’s shareholders in lieu of fractional shares or Unilever elects to sell all or substantially all of the Unilever Foods assets operated in the United States to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3" w:name="page14"/>
    <w:bookmarkEnd w:id="13"/>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McCormick or a subsidiary of McCormick in a transaction that is taxable for U.S. federal income tax purposes (the "U.S. Asset Sale Election").</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pending transaction is subject to the satisfaction or waiver of customary closing conditions, including the receipt of our shareholders' approval, the expiration or termination of the waiting period under the Hart-Scott-Rodino Antitrust Improvement Act of 1976, as amended, obtaining certain other consents, authorizations, orders or approvals from governmental authorities, including certain other antitrust and any foreign investment approvals, and the effectiveness of a registration statement on Form S-4 to be filed by us.</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and Unilever each have termination rights under the Merger Agreement. A termination fee of $420 million may be payable by us to Unilever, upon termination of the Merger Agreement under specified circumstances, each as more fully described in the Merger Agreement.</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entered into a commitment letter on March 31, 2026 (the "Bridge Commitment Letter") with Citigroup Global Markets Inc., Goldman Sachs Bank USA and Morgan Stanley Senior Funding, Inc., (the "Commitment Parties") pursuant to which the Commitment Parties committed to provide, subject to the terms and conditions set forth therein, a 364-day senior unsecured bridge term loan credit facility (the "Bridge Facility") in an aggregate principal amount of up to $15.7 billion. See Note 4 for more information on the Bridge Facility.</w:t>
      </w:r>
    </w:p>
    <w:p>
      <w:pPr>
        <w:spacing w:after="0" w:line="12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Bridge Commitment Letter also contemplates that we will seek to obtain permanent financing in the form of senior unsecured notes and/or senior unsecured term loans prior to the closing of the Merger (collectively, the “Permanent Financing”). Commitments under the Bridge Facility will be reduced by the amount of any Permanent Financing as well as the proceeds of certain asset sales and certain other events. The receipt of financing by us is not a condition to our obligation to consummate the pending transaction.</w:t>
      </w:r>
    </w:p>
    <w:p>
      <w:pPr>
        <w:spacing w:after="0" w:line="200" w:lineRule="exact"/>
        <w:rPr>
          <w:sz w:val="20"/>
          <w:szCs w:val="20"/>
          <w:color w:val="auto"/>
        </w:rPr>
      </w:pPr>
    </w:p>
    <w:p>
      <w:pPr>
        <w:spacing w:after="0" w:line="3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3.</w:t>
        <w:tab/>
        <w:t>SPECIAL CHARGES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Special charges, by income statement line item, recognized in the three and six months ended May 31, 2026 and May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252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color w:val="auto"/>
              </w:rPr>
              <w:t>Three months ended May 31,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8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500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50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 benefits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step-up included in Cost of goods sold</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expenses included in Interest expense</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Special charges</w:t>
            </w: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our consolidated income statement, we include a separate line item captioned Special charges in arriving at our consolidated operating income. Special charges consist of expenses associated with certain actions undertaken to reduce fixed costs, simplify or improve processes, and enhance our competitiveness. These charges are of such significance in terms of both up-front costs and organizational/structural impact to require advance approval by our Management Committee, comprised of our senior management, including our Chairman, President, and Chief Executive Officer. Expenses associated with any approved action are classified as Special charges upon recognition and monitored on an ongoing basis through completion. Included in special charges are transaction and integration costs incurred in conjunction with acquisitions.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 and Integration Expenses</w:t>
      </w:r>
    </w:p>
    <w:p>
      <w:pPr>
        <w:spacing w:after="0" w:line="16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May 31, 2026, we recorded $57.6 million of transaction and integration expenses primarily related to our pending merger with Unilever Foods announced on March 31, 2026, as discussed in Note 2. These charges were incurred to directly support due diligence, deal execution and integration activities, and are primarily comprised of banking, legal, and consulting fees. Additional transaction costs of $6.8 million were recognized in Interest expense related to the amortization of debt financing fees associated with our pending merger with Unilever Foods.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14" w:name="page15"/>
    <w:bookmarkEnd w:id="14"/>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color w:val="auto"/>
        </w:rPr>
        <w:t>The following transaction and integration expenses recorded in 2026 relate to the pending Merger Agreement with Unilever Foods (in millions) for the three and six month periods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jc w:val="right"/>
              <w:ind w:right="635"/>
              <w:spacing w:after="0"/>
              <w:rPr>
                <w:sz w:val="20"/>
                <w:szCs w:val="20"/>
                <w:color w:val="auto"/>
              </w:rPr>
            </w:pPr>
            <w:r>
              <w:rPr>
                <w:rFonts w:ascii="Times New Roman" w:cs="Times New Roman" w:eastAsia="Times New Roman" w:hAnsi="Times New Roman"/>
                <w:sz w:val="14"/>
                <w:szCs w:val="14"/>
                <w:color w:val="auto"/>
              </w:rPr>
              <w:t>May 31, 2026</w:t>
            </w:r>
          </w:p>
        </w:tc>
      </w:tr>
      <w:tr>
        <w:trPr>
          <w:trHeight w:val="23"/>
        </w:trPr>
        <w:tc>
          <w:tcPr>
            <w:tcW w:w="9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expenses in Special charges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Transaction expenses included in Interest expense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9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Special charges related to the pending Unilever transaction</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During the six months ended May 31, 2026, we recorded $65.5 million of transaction and integration expenses including $57.4 million related to our pending merger with Unilever Foods which is described above and $8.1 million related to our acquisition of McCormick de Mexico that closed on January 2, 2026, as discussed in Note 2. We also recorded $15.0 million in Cost of goods sold related to the step-up of acquired inventory related to the acquisition of McCormick de Mexico.</w:t>
      </w:r>
    </w:p>
    <w:p>
      <w:pPr>
        <w:spacing w:after="0" w:line="12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May 31, 2025, we recorded $0.8 million of transaction and integration costs related to the acquisition of Jurado, described in Note 2, which was primarily comprised of transaction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Severance and Related Benefits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evaluate changes to our organizational structure to reduce fixed costs, simplify or improve processes, and improve our competitiveness.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31, 2026, we recorded $1.8 million of employee severance and related benefit costs related to global selling, general and administrative streamlining actions and $0.6 million associated with other actions.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six months ended May 31, 2026, we recorded $18.0 million of employee severance and related benefit costs related to global selling, general and administrative streamlining actions and $1.6 million associated with other actions.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May 31, 2025, we recorded $11.4 million of employee severance and related benefit costs related to global selling, general and administrative streamlining actions and $0.6 million associated with other actions.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May 31, 2026 and November 30, 2025, special charges of $8.6 million and $4.7 million, respectively, are included in Other accrued liabilities in our consolidated balance sheet.</w:t>
      </w:r>
    </w:p>
    <w:p>
      <w:pPr>
        <w:spacing w:after="0" w:line="200" w:lineRule="exact"/>
        <w:rPr>
          <w:sz w:val="20"/>
          <w:szCs w:val="20"/>
          <w:color w:val="auto"/>
        </w:rPr>
      </w:pPr>
    </w:p>
    <w:p>
      <w:pPr>
        <w:spacing w:after="0" w:line="3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4.</w:t>
        <w:tab/>
        <w:t>FINANCING ARRANGEMENTS AND FINANCIAL INSTRUMENTS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Credit Facilities</w:t>
      </w:r>
    </w:p>
    <w:p>
      <w:pPr>
        <w:spacing w:after="0" w:line="16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 January 2026, we entered into a 364-day $500 million revolving credit facility, which will expire in January 2027. The current pricing for the 364-day credit facility, on a fully drawn basis, is Term Secured Overnight Financing Rate (SOFR) plus 1.125%. The pricing of the credit facility is based on a credit rating that contains a fully drawn maximum pricing of the credit facility equal to Term SOFR plus 1.50%. The provisions of the revolving credit facility restrict subsidiary indebtedness and require us to maintain a minimum interest coverage ratio, consistent with our five-year $2.0 billion revolving credit facility (the five-year facility). We do not expect this covenant will limit our access to those facilities for the foreseeable future.</w:t>
      </w:r>
    </w:p>
    <w:p>
      <w:pPr>
        <w:spacing w:after="0" w:line="14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February 2026, we issued $500 million aggregate principal amount of 4.15% unsecured senior notes due 2029. Interest is payable semiannually in February and August of each year, beginning in August 2026. The net proceeds received from the issuances of these notes of $497.1 million were used to repay a portion of the outstanding $500 million 0.90% notes due in February 2026.</w:t>
      </w:r>
    </w:p>
    <w:p>
      <w:pPr>
        <w:spacing w:after="0" w:line="13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March 2026, we entered into the Bridge Commitment Letter in connection with the financing of the pending transaction with Unilever Foods, pursuant to which the Commitment Parties committed to provide, subject to the terms and conditions set forth therein, the Bridge Facility an aggregate principal amount of up to $15.7 billion to fund the cash consideration required for the pending transaction. We paid $51.0 million of debt financing fees related to the transaction which were deferred in Other assets and are being amortized to Interest expense. We recognized $6.8 million of interest expense for the three and six months ended May 31, 2026. Effective April 28, 2026, we terminated $2.0 billion of the commitments under the Bridge Facility and entered into a term loan agreement as described below, subject to customary closing conditions for similar facilities.</w:t>
      </w:r>
    </w:p>
    <w:p>
      <w:pPr>
        <w:spacing w:after="0" w:line="14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April 2026, we entered into a term loan agreement (the "Term Loan Agreement") by and among us, the lenders party thereto and Citibank, N.A., as administrative agent (the "Administrative Agent"). The Term Loan Agreement provides us with the ability to borrow up to $2.0 billion (the "Term Loan Facility") at the closing of the pending merger with Unilever Foods (the "Closing Date"), subject to satisfaction of customary closing conditions for similar facilities, for the purpose of financing a</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15" w:name="page16"/>
    <w:bookmarkEnd w:id="15"/>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portion of the cash consideration to be paid in the pending transaction and paying related fees and expenses in connection therewith. The Term Loan Facility may be funded on the Closing Date or, subject to compliance with certain conditions, on the preceding business day, and matures three years after the Closing Date. Under the Term Loan Agreement, borrowings will bear interest on the principal amount outstanding at a floating rate based on, at our election, (i) Term SOFR (as defined in the Term Loan Agreement) plus an applicable margin based on the credit ratings of our senior unsecured long term debt ranging from 0.75% to 1.50% or (ii) Base Rate (as defined in the Term Loan Agreement) plus an applicable margin based on the credit ratings of our senior unsecured long term debt ranging from 0.00% to 0.50%. The Term Loan Agreement contains a financial covenant requiring us to maintain a minimum interest coverage ratio as well as other non-financial covenants and certain customary events of default.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2026, we are in compliance with all debt covenants.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Financial Instruments</w:t>
      </w:r>
    </w:p>
    <w:p>
      <w:pPr>
        <w:spacing w:after="0" w:line="160"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We use derivative financial instruments to enhance our ability to manage risk, including foreign currency, net investment, commodity, and interest rate exposures, which exist as part of our ongoing business operations. We do not enter into contracts for trading purposes, nor are we a party to any leveraged derivative instrument. We are not a party to master netting arrangements, and we do not offset the fair value of derivative contracts with the same counterparty in our financial statement disclosures. The use of derivative financial instruments is monitored through regular communication with senior management and the use of written guidelines.</w:t>
      </w:r>
    </w:p>
    <w:p>
      <w:pPr>
        <w:spacing w:after="0" w:line="13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212529"/>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potentially exposed to foreign currency fluctuations affecting net investments in subsidiaries, transactions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and intercompany), and earnings denominated in foreign currencies. We assess foreign currency risk based on transactional cash flows and translational volatility and may enter into forward contracts and currency swaps with highly-rated financial institutions to reduce fluctuations in the long or short currency positions.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12529"/>
        </w:rPr>
        <w:t xml:space="preserve">The following is a summary of the notional amounts of outstanding foreign currency exchange contracts as of May 31, 2026 and </w:t>
      </w:r>
      <w:r>
        <w:rPr>
          <w:rFonts w:ascii="Times New Roman" w:cs="Times New Roman" w:eastAsia="Times New Roman" w:hAnsi="Times New Roman"/>
          <w:sz w:val="18"/>
          <w:szCs w:val="18"/>
          <w:color w:val="000000"/>
        </w:rPr>
        <w:t>November 30, 2025</w:t>
      </w:r>
      <w:r>
        <w:rPr>
          <w:rFonts w:ascii="Times New Roman" w:cs="Times New Roman" w:eastAsia="Times New Roman" w:hAnsi="Times New Roman"/>
          <w:sz w:val="18"/>
          <w:szCs w:val="18"/>
          <w:color w:val="212529"/>
        </w:rPr>
        <w:t xml:space="preserv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31, 2026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November 30, 2025</w:t>
            </w:r>
          </w:p>
        </w:tc>
      </w:tr>
      <w:tr>
        <w:trPr>
          <w:trHeight w:val="23"/>
        </w:trPr>
        <w:tc>
          <w:tcPr>
            <w:tcW w:w="68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152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not designated as hedging instruments</w:t>
            </w:r>
          </w:p>
        </w:tc>
        <w:tc>
          <w:tcPr>
            <w:tcW w:w="15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w:t>
            </w:r>
          </w:p>
        </w:tc>
      </w:tr>
      <w:tr>
        <w:trPr>
          <w:trHeight w:val="21"/>
        </w:trPr>
        <w:tc>
          <w:tcPr>
            <w:tcW w:w="68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212529"/>
        </w:rPr>
        <w:t xml:space="preserve">As a matter of policy, all cash flow hedges are designated for hedge accounting on the trade date of the derivative. However, certain cash flow hedges are de-designated at the anticipated transaction date and subsequently marked-to-market through earnings until maturity. </w:t>
      </w:r>
      <w:r>
        <w:rPr>
          <w:rFonts w:ascii="Times New Roman" w:cs="Times New Roman" w:eastAsia="Times New Roman" w:hAnsi="Times New Roman"/>
          <w:sz w:val="18"/>
          <w:szCs w:val="18"/>
          <w:color w:val="000000"/>
        </w:rPr>
        <w:t>For the six months ended May 31,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2026, derivatives not designated as hedging instruments consisted primarily of foreign exchange contracts. Foreign exchange contracts not designated as hedging instruments resulted in a net gain of $3.3 million and $0.6 million in the three and six months ended May 31, 2026, respectively, recognized in Cost of goods sold, reflecting the effect of exchange rate movements associated with purchases denominated in U.S. dollars.</w:t>
      </w:r>
    </w:p>
    <w:p>
      <w:pPr>
        <w:spacing w:after="0" w:line="1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212529"/>
        </w:rPr>
        <w:t xml:space="preserve">The fair value and cash flow hedges were designated as hedges of foreign currency denominated assets or liabilities or hedges of anticipated purchases denominated in a foreign currency. </w:t>
      </w:r>
      <w:r>
        <w:rPr>
          <w:rFonts w:ascii="Times New Roman" w:cs="Times New Roman" w:eastAsia="Times New Roman" w:hAnsi="Times New Roman"/>
          <w:sz w:val="18"/>
          <w:szCs w:val="18"/>
          <w:color w:val="000000"/>
        </w:rPr>
        <w:t>Hedge ineffectiveness was not material. All foreign currency exchange contracts generally have durations of less than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18 months. At May 31, 2026, $205.7 million of notional contracts had an initial duration of less than one month and are used to hedge short-term cash flow funding.</w:t>
      </w:r>
    </w:p>
    <w:p>
      <w:pPr>
        <w:spacing w:after="0" w:line="12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212529"/>
        </w:rPr>
        <w:t xml:space="preserve">Contracts which are designated as hedges of foreign currency denominated assets are accounted for as fair value hedges. These foreign currency exchange contracts </w:t>
      </w:r>
      <w:r>
        <w:rPr>
          <w:rFonts w:ascii="Times New Roman" w:cs="Times New Roman" w:eastAsia="Times New Roman" w:hAnsi="Times New Roman"/>
          <w:sz w:val="18"/>
          <w:szCs w:val="18"/>
          <w:color w:val="000000"/>
        </w:rPr>
        <w:t>manage both exposure to currency fluctuations in certain intercompany loans between subsidiaries as well as currency exposure to third-party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non-functional currency assets or liabilities. Gains and losses from contracts that are designated as hedges of assets, liabilities, or firm commitments are recognized through income, offsetting the change in fair value of the hedged item. Contracts which are designated as hedges of anticipated purchases denominated in a foreign currency (generally purchases of inventory in U.S. dollars by operating units outside the U.S.) are accounted for as cash flow hedges. The gains and losses on these contracts are deferred in accumulated other comprehensive income until the hedged item is recognized in cost of goods sold, at which time the net amount deferred in accumulated other comprehensive income is also recognized in cost of goods sold. Contracts which are not designated as hedging instruments are marked-to-market, with changes in unrealized gain or loss recognized in earnings.</w:t>
      </w:r>
    </w:p>
    <w:p>
      <w:pPr>
        <w:spacing w:after="0" w:line="14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also utilize cross currency interest rate swap contracts that are designated as net investment hedges. Any gains or losses on net investment hedges are included in foreign currency translation adjustments in Accumulated other comprehensive loss. Net interest accruals excluded from the assessment of hedge effectiveness are included in earnings as interest expense.</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16" w:name="page17"/>
    <w:bookmarkEnd w:id="16"/>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finance a portion of our operations with both fixed and variable rate debt instruments, principally commercial paper, notes, and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We utilize interest rate derivative contracts, including interest rate swap agreements, to minimize worldwide financing costs and to achieve a desired mix of variable and fixed rate debt.</w:t>
      </w:r>
    </w:p>
    <w:p>
      <w:pPr>
        <w:spacing w:after="0" w:line="1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Commodity price risk</w:t>
      </w:r>
      <w:r>
        <w:rPr>
          <w:rFonts w:ascii="Times New Roman" w:cs="Times New Roman" w:eastAsia="Times New Roman" w:hAnsi="Times New Roman"/>
          <w:sz w:val="18"/>
          <w:szCs w:val="18"/>
          <w:color w:val="auto"/>
        </w:rPr>
        <w:t>. We purchase certain raw materials which are subject to price volatility caused by weather, market conditions, growing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harvesting conditions, governmental actions, and other factors beyond our control. While future movements of raw material costs are uncertain, we respond to this volatility in a number of ways, including strategic raw material purchases, purchases of raw material for future delivery, and customer price adjustments. With the exception of soybean oil, we generally do not use derivatives to manage price volatility. We utilize commodity contracts, including commodity futures, options, and over-the counter swaps to manage price risk for soybean oil. These commodity contracts are designated as cash flow hedges. Generally, we hedge a portion of our anticipated consumption of soybean oil inputs for periods of up to 24 months.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the notional amount and fair values of derivative instruments on our balance sheet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3040" w:type="dxa"/>
            <w:vAlign w:val="bottom"/>
            <w:gridSpan w:val="5"/>
          </w:tcPr>
          <w:p>
            <w:pPr>
              <w:ind w:left="1460"/>
              <w:spacing w:after="0"/>
              <w:rPr>
                <w:sz w:val="20"/>
                <w:szCs w:val="20"/>
                <w:color w:val="auto"/>
              </w:rPr>
            </w:pPr>
            <w:r>
              <w:rPr>
                <w:rFonts w:ascii="Times New Roman" w:cs="Times New Roman" w:eastAsia="Times New Roman" w:hAnsi="Times New Roman"/>
                <w:sz w:val="14"/>
                <w:szCs w:val="14"/>
                <w:color w:val="auto"/>
              </w:rPr>
              <w:t>Asset Derivatives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ind w:left="1320"/>
              <w:spacing w:after="0"/>
              <w:rPr>
                <w:sz w:val="20"/>
                <w:szCs w:val="20"/>
                <w:color w:val="auto"/>
              </w:rPr>
            </w:pPr>
            <w:r>
              <w:rPr>
                <w:rFonts w:ascii="Times New Roman" w:cs="Times New Roman" w:eastAsia="Times New Roman" w:hAnsi="Times New Roman"/>
                <w:sz w:val="14"/>
                <w:szCs w:val="14"/>
                <w:color w:val="auto"/>
              </w:rPr>
              <w:t>Liability Derivatives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740" w:type="dxa"/>
            <w:vAlign w:val="bottom"/>
            <w:tcBorders>
              <w:top w:val="single" w:sz="8" w:color="auto"/>
            </w:tcBorders>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color w:val="auto"/>
              </w:rPr>
              <w:t>Balance sheet</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3"/>
              <w:spacing w:after="0" w:line="133" w:lineRule="exact"/>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1"/>
                <w:szCs w:val="11"/>
                <w:color w:val="auto"/>
              </w:rPr>
            </w:pPr>
          </w:p>
        </w:tc>
        <w:tc>
          <w:tcPr>
            <w:tcW w:w="1820" w:type="dxa"/>
            <w:vAlign w:val="bottom"/>
            <w:tcBorders>
              <w:top w:val="single" w:sz="8" w:color="auto"/>
            </w:tcBorders>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Balance sheet</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13"/>
              <w:spacing w:after="0" w:line="133" w:lineRule="exact"/>
              <w:rPr>
                <w:sz w:val="20"/>
                <w:szCs w:val="20"/>
                <w:color w:val="auto"/>
              </w:rPr>
            </w:pPr>
            <w:r>
              <w:rPr>
                <w:rFonts w:ascii="Times New Roman" w:cs="Times New Roman" w:eastAsia="Times New Roman" w:hAnsi="Times New Roman"/>
                <w:sz w:val="14"/>
                <w:szCs w:val="14"/>
                <w:color w:val="auto"/>
                <w:w w:val="97"/>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location</w:t>
            </w:r>
          </w:p>
        </w:tc>
        <w:tc>
          <w:tcPr>
            <w:tcW w:w="2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amount</w:t>
            </w:r>
          </w:p>
        </w:tc>
        <w:tc>
          <w:tcPr>
            <w:tcW w:w="20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Pr>
          <w:p>
            <w:pPr>
              <w:spacing w:after="0"/>
              <w:rPr>
                <w:sz w:val="16"/>
                <w:szCs w:val="16"/>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location</w:t>
            </w: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8"/>
              </w:rPr>
              <w:t>value</w:t>
            </w:r>
          </w:p>
        </w:tc>
        <w:tc>
          <w:tcPr>
            <w:tcW w:w="0" w:type="dxa"/>
            <w:vAlign w:val="bottom"/>
          </w:tcPr>
          <w:p>
            <w:pPr>
              <w:spacing w:after="0"/>
              <w:rPr>
                <w:sz w:val="1"/>
                <w:szCs w:val="1"/>
                <w:color w:val="auto"/>
              </w:rPr>
            </w:pPr>
          </w:p>
        </w:tc>
      </w:tr>
      <w:tr>
        <w:trPr>
          <w:trHeight w:val="20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May 31, 2026</w:t>
            </w: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Other current assets /</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74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Other long-term</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liabilities / Other long-</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vMerge w:val="continue"/>
            <w:shd w:val="clear" w:color="auto" w:fill="CCEEFF"/>
          </w:tcPr>
          <w:p>
            <w:pPr>
              <w:spacing w:after="0"/>
              <w:rPr>
                <w:sz w:val="19"/>
                <w:szCs w:val="19"/>
                <w:color w:val="auto"/>
              </w:rPr>
            </w:pP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2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term liabilities</w:t>
            </w:r>
          </w:p>
        </w:tc>
        <w:tc>
          <w:tcPr>
            <w:tcW w:w="1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Other current</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Other current assets /</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contracts</w:t>
            </w:r>
          </w:p>
        </w:tc>
        <w:tc>
          <w:tcPr>
            <w:tcW w:w="174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Other long-term</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liabilities / Other long-</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vMerge w:val="continue"/>
            <w:shd w:val="clear" w:color="auto" w:fill="CCEEFF"/>
          </w:tcPr>
          <w:p>
            <w:pPr>
              <w:spacing w:after="0"/>
              <w:rPr>
                <w:sz w:val="19"/>
                <w:szCs w:val="19"/>
                <w:color w:val="auto"/>
              </w:rPr>
            </w:pPr>
          </w:p>
        </w:tc>
        <w:tc>
          <w:tcPr>
            <w:tcW w:w="1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term liabilities</w:t>
            </w: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Other current assets /</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7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Other long-term</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liabilities / Other long-</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vMerge w:val="continue"/>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term liabilities</w:t>
            </w: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2"/>
                <w:szCs w:val="12"/>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2"/>
                <w:szCs w:val="12"/>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320" w:type="dxa"/>
            <w:vAlign w:val="bottom"/>
            <w:tcBorders>
              <w:bottom w:val="single" w:sz="8" w:color="CCEEFF"/>
            </w:tcBorders>
            <w:vMerge w:val="continue"/>
          </w:tcPr>
          <w:p>
            <w:pPr>
              <w:spacing w:after="0"/>
              <w:rPr>
                <w:sz w:val="8"/>
                <w:szCs w:val="8"/>
                <w:color w:val="auto"/>
              </w:rPr>
            </w:pPr>
          </w:p>
        </w:tc>
        <w:tc>
          <w:tcPr>
            <w:tcW w:w="16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20" w:type="dxa"/>
            <w:vAlign w:val="bottom"/>
            <w:tcBorders>
              <w:bottom w:val="single" w:sz="8" w:color="CCEEFF"/>
            </w:tcBorders>
          </w:tcPr>
          <w:p>
            <w:pPr>
              <w:spacing w:after="0"/>
              <w:rPr>
                <w:sz w:val="8"/>
                <w:szCs w:val="8"/>
                <w:color w:val="auto"/>
              </w:rPr>
            </w:pPr>
          </w:p>
        </w:tc>
        <w:tc>
          <w:tcPr>
            <w:tcW w:w="96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20" w:type="dxa"/>
            <w:vAlign w:val="bottom"/>
            <w:tcBorders>
              <w:bottom w:val="single" w:sz="8" w:color="CCEEFF"/>
            </w:tcBorders>
            <w:gridSpan w:val="2"/>
            <w:vMerge w:val="continue"/>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November 30, 2025</w:t>
            </w: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2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Other current assets /</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7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Other long-term</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liabilities / Other long-</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vMerge w:val="continue"/>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2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term liabilities</w:t>
            </w:r>
          </w:p>
        </w:tc>
        <w:tc>
          <w:tcPr>
            <w:tcW w:w="1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20" w:type="dxa"/>
            <w:vAlign w:val="bottom"/>
            <w:shd w:val="clear" w:color="auto" w:fill="CCEEFF"/>
          </w:tcPr>
          <w:p>
            <w:pPr>
              <w:spacing w:after="0"/>
              <w:rPr>
                <w:sz w:val="16"/>
                <w:szCs w:val="16"/>
                <w:color w:val="auto"/>
              </w:rPr>
            </w:pPr>
          </w:p>
        </w:tc>
        <w:tc>
          <w:tcPr>
            <w:tcW w:w="17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74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2"/>
                <w:szCs w:val="12"/>
                <w:color w:val="auto"/>
              </w:rPr>
            </w:pPr>
          </w:p>
        </w:tc>
        <w:tc>
          <w:tcPr>
            <w:tcW w:w="18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320" w:type="dxa"/>
            <w:vAlign w:val="bottom"/>
            <w:vMerge w:val="continue"/>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6"/>
                <w:szCs w:val="16"/>
                <w:color w:val="auto"/>
              </w:rPr>
            </w:pP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Other current assets /</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Other accrued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Cross currency contracts</w:t>
            </w:r>
          </w:p>
        </w:tc>
        <w:tc>
          <w:tcPr>
            <w:tcW w:w="17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Other long-term</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liabilities / Other long-</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vMerge w:val="continue"/>
          </w:tcPr>
          <w:p>
            <w:pPr>
              <w:spacing w:after="0"/>
              <w:rPr>
                <w:sz w:val="19"/>
                <w:szCs w:val="19"/>
                <w:color w:val="auto"/>
              </w:rPr>
            </w:pPr>
          </w:p>
        </w:tc>
        <w:tc>
          <w:tcPr>
            <w:tcW w:w="17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assets</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term liabilities</w:t>
            </w:r>
          </w:p>
        </w:tc>
        <w:tc>
          <w:tcPr>
            <w:tcW w:w="1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4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 w:name="page18"/>
    <w:bookmarkEnd w:id="17"/>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tables disclose the impact of derivative instruments on our other comprehensive income (OCI), accumulated other comprehensive income (AOCI), and our consolidated income statement for the three and six months ended May 31, 2026 and 2025 (in millions):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Hedges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Derivative</w:t>
            </w:r>
          </w:p>
        </w:tc>
        <w:tc>
          <w:tcPr>
            <w:tcW w:w="760" w:type="dxa"/>
            <w:vAlign w:val="bottom"/>
          </w:tcPr>
          <w:p>
            <w:pPr>
              <w:spacing w:after="0"/>
              <w:rPr>
                <w:sz w:val="13"/>
                <w:szCs w:val="13"/>
                <w:color w:val="auto"/>
              </w:rPr>
            </w:pPr>
          </w:p>
        </w:tc>
        <w:tc>
          <w:tcPr>
            <w:tcW w:w="1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color w:val="auto"/>
              </w:rPr>
              <w:t>Income statement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gridSpan w:val="5"/>
            <w:vMerge w:val="restart"/>
          </w:tcPr>
          <w:p>
            <w:pPr>
              <w:jc w:val="right"/>
              <w:ind w:right="270"/>
              <w:spacing w:after="0"/>
              <w:rPr>
                <w:sz w:val="20"/>
                <w:szCs w:val="20"/>
                <w:color w:val="auto"/>
              </w:rPr>
            </w:pPr>
            <w:r>
              <w:rPr>
                <w:rFonts w:ascii="Times New Roman" w:cs="Times New Roman" w:eastAsia="Times New Roman" w:hAnsi="Times New Roman"/>
                <w:sz w:val="14"/>
                <w:szCs w:val="14"/>
                <w:color w:val="auto"/>
              </w:rPr>
              <w:t>Expense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color w:val="auto"/>
              </w:rPr>
              <w:t>location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color w:val="auto"/>
              </w:rPr>
              <w:t>Six months ended May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left="297"/>
              <w:spacing w:after="0"/>
              <w:rPr>
                <w:sz w:val="20"/>
                <w:szCs w:val="20"/>
                <w:color w:val="auto"/>
              </w:rPr>
            </w:pPr>
            <w:r>
              <w:rPr>
                <w:rFonts w:ascii="Times New Roman" w:cs="Times New Roman" w:eastAsia="Times New Roman" w:hAnsi="Times New Roman"/>
                <w:sz w:val="14"/>
                <w:szCs w:val="14"/>
                <w:color w:val="auto"/>
                <w:w w:val="99"/>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7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6"/>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center"/>
              <w:ind w:left="203"/>
              <w:spacing w:after="0"/>
              <w:rPr>
                <w:sz w:val="20"/>
                <w:szCs w:val="20"/>
                <w:color w:val="auto"/>
              </w:rPr>
            </w:pPr>
            <w:r>
              <w:rPr>
                <w:rFonts w:ascii="Times New Roman" w:cs="Times New Roman" w:eastAsia="Times New Roman" w:hAnsi="Times New Roman"/>
                <w:sz w:val="14"/>
                <w:szCs w:val="14"/>
                <w:color w:val="auto"/>
              </w:rPr>
              <w:t>Income</w:t>
            </w: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23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6"/>
            <w:vMerge w:val="restart"/>
          </w:tcPr>
          <w:p>
            <w:pPr>
              <w:jc w:val="center"/>
              <w:ind w:left="1017"/>
              <w:spacing w:after="0"/>
              <w:rPr>
                <w:sz w:val="20"/>
                <w:szCs w:val="20"/>
                <w:color w:val="auto"/>
              </w:rPr>
            </w:pPr>
            <w:r>
              <w:rPr>
                <w:rFonts w:ascii="Times New Roman" w:cs="Times New Roman" w:eastAsia="Times New Roman" w:hAnsi="Times New Roman"/>
                <w:sz w:val="14"/>
                <w:szCs w:val="14"/>
                <w:color w:val="auto"/>
              </w:rPr>
              <w:t>Income statement</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statement</w:t>
            </w:r>
          </w:p>
        </w:tc>
        <w:tc>
          <w:tcPr>
            <w:tcW w:w="120" w:type="dxa"/>
            <w:vAlign w:val="bottom"/>
          </w:tcPr>
          <w:p>
            <w:pPr>
              <w:spacing w:after="0"/>
              <w:rPr>
                <w:sz w:val="12"/>
                <w:szCs w:val="12"/>
                <w:color w:val="auto"/>
              </w:rPr>
            </w:pPr>
          </w:p>
        </w:tc>
        <w:tc>
          <w:tcPr>
            <w:tcW w:w="260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4"/>
                <w:szCs w:val="14"/>
                <w:color w:val="auto"/>
              </w:rPr>
              <w:t>Gain (loss) recognized in income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8"/>
            <w:vMerge w:val="restart"/>
          </w:tcPr>
          <w:p>
            <w:pPr>
              <w:ind w:left="240"/>
              <w:spacing w:after="0"/>
              <w:rPr>
                <w:sz w:val="20"/>
                <w:szCs w:val="20"/>
                <w:color w:val="auto"/>
              </w:rPr>
            </w:pPr>
            <w:r>
              <w:rPr>
                <w:rFonts w:ascii="Times New Roman" w:cs="Times New Roman" w:eastAsia="Times New Roman" w:hAnsi="Times New Roman"/>
                <w:sz w:val="14"/>
                <w:szCs w:val="14"/>
                <w:color w:val="auto"/>
              </w:rPr>
              <w:t>Gain (loss) recognized in income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76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4"/>
                <w:szCs w:val="14"/>
                <w:color w:val="auto"/>
              </w:rPr>
              <w:t>location</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0"/>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location</w:t>
            </w: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Hedged item</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40" w:type="dxa"/>
            <w:vAlign w:val="bottom"/>
            <w:gridSpan w:val="2"/>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4"/>
            <w:vMerge w:val="restart"/>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(17.4)</w:t>
            </w:r>
          </w:p>
        </w:tc>
        <w:tc>
          <w:tcPr>
            <w:tcW w:w="14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loans</w:t>
            </w:r>
          </w:p>
        </w:tc>
        <w:tc>
          <w:tcPr>
            <w:tcW w:w="1020" w:type="dxa"/>
            <w:vAlign w:val="bottom"/>
            <w:gridSpan w:val="5"/>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2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6"/>
                <w:szCs w:val="16"/>
                <w:color w:val="auto"/>
              </w:rPr>
              <w:t>net</w:t>
            </w:r>
          </w:p>
        </w:tc>
        <w:tc>
          <w:tcPr>
            <w:tcW w:w="2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gridSpan w:val="4"/>
            <w:vMerge w:val="continue"/>
            <w:shd w:val="clear" w:color="auto" w:fill="CCEEFF"/>
          </w:tcPr>
          <w:p>
            <w:pPr>
              <w:spacing w:after="0"/>
              <w:rPr>
                <w:sz w:val="18"/>
                <w:szCs w:val="18"/>
                <w:color w:val="auto"/>
              </w:rPr>
            </w:pPr>
          </w:p>
        </w:tc>
        <w:tc>
          <w:tcPr>
            <w:tcW w:w="1000" w:type="dxa"/>
            <w:vAlign w:val="bottom"/>
            <w:gridSpan w:val="4"/>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420" w:type="dxa"/>
            <w:vAlign w:val="bottom"/>
            <w:gridSpan w:val="4"/>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33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vMerge w:val="continue"/>
            <w:shd w:val="clear" w:color="auto" w:fill="CCEEFF"/>
          </w:tcPr>
          <w:p>
            <w:pPr>
              <w:spacing w:after="0"/>
              <w:rPr>
                <w:sz w:val="18"/>
                <w:szCs w:val="18"/>
                <w:color w:val="auto"/>
              </w:rPr>
            </w:pPr>
          </w:p>
        </w:tc>
        <w:tc>
          <w:tcPr>
            <w:tcW w:w="116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Six months ended May 31,</w:t>
            </w: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040" w:type="dxa"/>
            <w:vAlign w:val="bottom"/>
            <w:gridSpan w:val="2"/>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gridSpan w:val="4"/>
            <w:vMerge w:val="restart"/>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(17.9)</w:t>
            </w:r>
          </w:p>
        </w:tc>
        <w:tc>
          <w:tcPr>
            <w:tcW w:w="142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loans</w:t>
            </w:r>
          </w:p>
        </w:tc>
        <w:tc>
          <w:tcPr>
            <w:tcW w:w="1020" w:type="dxa"/>
            <w:vAlign w:val="bottom"/>
            <w:gridSpan w:val="5"/>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9"/>
        </w:trPr>
        <w:tc>
          <w:tcPr>
            <w:tcW w:w="2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center"/>
              <w:ind w:left="203"/>
              <w:spacing w:after="0"/>
              <w:rPr>
                <w:sz w:val="20"/>
                <w:szCs w:val="20"/>
                <w:color w:val="auto"/>
              </w:rPr>
            </w:pPr>
            <w:r>
              <w:rPr>
                <w:rFonts w:ascii="Times New Roman" w:cs="Times New Roman" w:eastAsia="Times New Roman" w:hAnsi="Times New Roman"/>
                <w:sz w:val="16"/>
                <w:szCs w:val="16"/>
                <w:color w:val="auto"/>
              </w:rPr>
              <w:t>net</w:t>
            </w:r>
          </w:p>
        </w:tc>
        <w:tc>
          <w:tcPr>
            <w:tcW w:w="2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40" w:type="dxa"/>
            <w:vAlign w:val="bottom"/>
            <w:gridSpan w:val="4"/>
            <w:vMerge w:val="continue"/>
            <w:shd w:val="clear" w:color="auto" w:fill="CCEEFF"/>
          </w:tcPr>
          <w:p>
            <w:pPr>
              <w:spacing w:after="0"/>
              <w:rPr>
                <w:sz w:val="18"/>
                <w:szCs w:val="18"/>
                <w:color w:val="auto"/>
              </w:rPr>
            </w:pPr>
          </w:p>
        </w:tc>
        <w:tc>
          <w:tcPr>
            <w:tcW w:w="1000" w:type="dxa"/>
            <w:vAlign w:val="bottom"/>
            <w:gridSpan w:val="4"/>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420" w:type="dxa"/>
            <w:vAlign w:val="bottom"/>
            <w:gridSpan w:val="4"/>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33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vMerge w:val="continue"/>
            <w:shd w:val="clear" w:color="auto" w:fill="CCEEFF"/>
          </w:tcPr>
          <w:p>
            <w:pPr>
              <w:spacing w:after="0"/>
              <w:rPr>
                <w:sz w:val="18"/>
                <w:szCs w:val="18"/>
                <w:color w:val="auto"/>
              </w:rPr>
            </w:pPr>
          </w:p>
        </w:tc>
        <w:tc>
          <w:tcPr>
            <w:tcW w:w="1160" w:type="dxa"/>
            <w:vAlign w:val="bottom"/>
            <w:gridSpan w:val="4"/>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3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8"/>
            <w:vMerge w:val="restart"/>
          </w:tcPr>
          <w:p>
            <w:pPr>
              <w:jc w:val="right"/>
              <w:ind w:right="688"/>
              <w:spacing w:after="0"/>
              <w:rPr>
                <w:sz w:val="20"/>
                <w:szCs w:val="20"/>
                <w:color w:val="auto"/>
              </w:rPr>
            </w:pPr>
            <w:r>
              <w:rPr>
                <w:rFonts w:ascii="Times New Roman" w:cs="Times New Roman" w:eastAsia="Times New Roman" w:hAnsi="Times New Roman"/>
                <w:sz w:val="14"/>
                <w:szCs w:val="14"/>
                <w:color w:val="auto"/>
              </w:rPr>
              <w:t>Gain (loss)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Income statement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6"/>
            <w:vMerge w:val="restart"/>
          </w:tcPr>
          <w:p>
            <w:pPr>
              <w:ind w:left="640"/>
              <w:spacing w:after="0"/>
              <w:rPr>
                <w:sz w:val="20"/>
                <w:szCs w:val="20"/>
                <w:color w:val="auto"/>
              </w:rPr>
            </w:pPr>
            <w:r>
              <w:rPr>
                <w:rFonts w:ascii="Times New Roman" w:cs="Times New Roman" w:eastAsia="Times New Roman" w:hAnsi="Times New Roman"/>
                <w:sz w:val="14"/>
                <w:szCs w:val="14"/>
                <w:color w:val="auto"/>
              </w:rPr>
              <w:t>Gain (loss)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8"/>
          </w:tcPr>
          <w:p>
            <w:pPr>
              <w:jc w:val="right"/>
              <w:ind w:right="468"/>
              <w:spacing w:after="0"/>
              <w:rPr>
                <w:sz w:val="20"/>
                <w:szCs w:val="20"/>
                <w:color w:val="auto"/>
              </w:rPr>
            </w:pPr>
            <w:r>
              <w:rPr>
                <w:rFonts w:ascii="Times New Roman" w:cs="Times New Roman" w:eastAsia="Times New Roman" w:hAnsi="Times New Roman"/>
                <w:sz w:val="14"/>
                <w:szCs w:val="14"/>
                <w:color w:val="auto"/>
              </w:rPr>
              <w:t>recognized in OCI</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ind w:left="277"/>
              <w:spacing w:after="0"/>
              <w:rPr>
                <w:sz w:val="20"/>
                <w:szCs w:val="20"/>
                <w:color w:val="auto"/>
              </w:rPr>
            </w:pPr>
            <w:r>
              <w:rPr>
                <w:rFonts w:ascii="Times New Roman" w:cs="Times New Roman" w:eastAsia="Times New Roman" w:hAnsi="Times New Roman"/>
                <w:sz w:val="14"/>
                <w:szCs w:val="14"/>
                <w:color w:val="auto"/>
              </w:rPr>
              <w:t>location</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8"/>
          </w:tcPr>
          <w:p>
            <w:pPr>
              <w:ind w:left="280"/>
              <w:spacing w:after="0"/>
              <w:rPr>
                <w:sz w:val="20"/>
                <w:szCs w:val="20"/>
                <w:color w:val="auto"/>
              </w:rPr>
            </w:pPr>
            <w:r>
              <w:rPr>
                <w:rFonts w:ascii="Times New Roman" w:cs="Times New Roman" w:eastAsia="Times New Roman" w:hAnsi="Times New Roman"/>
                <w:sz w:val="14"/>
                <w:szCs w:val="14"/>
                <w:color w:val="auto"/>
              </w:rPr>
              <w:t>reclassified from AOCI</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w:t>
            </w:r>
          </w:p>
        </w:tc>
        <w:tc>
          <w:tcPr>
            <w:tcW w:w="7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Interest expense</w:t>
            </w:r>
          </w:p>
        </w:tc>
        <w:tc>
          <w:tcPr>
            <w:tcW w:w="36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Six months ended May 31,</w:t>
            </w: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3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Interest expense</w:t>
            </w:r>
          </w:p>
        </w:tc>
        <w:tc>
          <w:tcPr>
            <w:tcW w:w="36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 of goods sold</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As of May 31, 2026, the net amount of Accumulated other comprehensive loss associated with all cash flow, settled interest rate cash flow hedge derivatives, and commodity contracts expected to be reclassified in the next 12 months is a $48.6 million increase to earnings.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Investment Hedges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color w:val="auto"/>
              </w:rPr>
              <w:t>Gain (loss)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Income statement</w:t>
            </w:r>
          </w:p>
        </w:tc>
        <w:tc>
          <w:tcPr>
            <w:tcW w:w="140" w:type="dxa"/>
            <w:vAlign w:val="bottom"/>
          </w:tcPr>
          <w:p>
            <w:pPr>
              <w:spacing w:after="0"/>
              <w:rPr>
                <w:sz w:val="13"/>
                <w:szCs w:val="13"/>
                <w:color w:val="auto"/>
              </w:rPr>
            </w:pPr>
          </w:p>
        </w:tc>
        <w:tc>
          <w:tcPr>
            <w:tcW w:w="2800" w:type="dxa"/>
            <w:vAlign w:val="bottom"/>
            <w:gridSpan w:val="4"/>
          </w:tcPr>
          <w:p>
            <w:pPr>
              <w:jc w:val="center"/>
              <w:ind w:right="56"/>
              <w:spacing w:after="0"/>
              <w:rPr>
                <w:sz w:val="20"/>
                <w:szCs w:val="20"/>
                <w:color w:val="auto"/>
              </w:rPr>
            </w:pPr>
            <w:r>
              <w:rPr>
                <w:rFonts w:ascii="Times New Roman" w:cs="Times New Roman" w:eastAsia="Times New Roman" w:hAnsi="Times New Roman"/>
                <w:sz w:val="14"/>
                <w:szCs w:val="14"/>
                <w:color w:val="auto"/>
              </w:rPr>
              <w:t>Gain excluded from the assessment of hedge</w:t>
            </w:r>
          </w:p>
        </w:tc>
      </w:tr>
      <w:tr>
        <w:trPr>
          <w:trHeight w:val="192"/>
        </w:trPr>
        <w:tc>
          <w:tcPr>
            <w:tcW w:w="3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recognized in OCI</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location</w:t>
            </w:r>
          </w:p>
        </w:tc>
        <w:tc>
          <w:tcPr>
            <w:tcW w:w="140" w:type="dxa"/>
            <w:vAlign w:val="bottom"/>
          </w:tcPr>
          <w:p>
            <w:pPr>
              <w:spacing w:after="0"/>
              <w:rPr>
                <w:sz w:val="16"/>
                <w:szCs w:val="16"/>
                <w:color w:val="auto"/>
              </w:rPr>
            </w:pPr>
          </w:p>
        </w:tc>
        <w:tc>
          <w:tcPr>
            <w:tcW w:w="1820" w:type="dxa"/>
            <w:vAlign w:val="bottom"/>
            <w:gridSpan w:val="3"/>
          </w:tcPr>
          <w:p>
            <w:pPr>
              <w:jc w:val="center"/>
              <w:ind w:left="761"/>
              <w:spacing w:after="0"/>
              <w:rPr>
                <w:sz w:val="20"/>
                <w:szCs w:val="20"/>
                <w:color w:val="auto"/>
              </w:rPr>
            </w:pPr>
            <w:r>
              <w:rPr>
                <w:rFonts w:ascii="Times New Roman" w:cs="Times New Roman" w:eastAsia="Times New Roman" w:hAnsi="Times New Roman"/>
                <w:sz w:val="14"/>
                <w:szCs w:val="14"/>
                <w:color w:val="auto"/>
              </w:rPr>
              <w:t>effectiveness</w:t>
            </w:r>
          </w:p>
        </w:tc>
        <w:tc>
          <w:tcPr>
            <w:tcW w:w="980" w:type="dxa"/>
            <w:vAlign w:val="bottom"/>
          </w:tcPr>
          <w:p>
            <w:pPr>
              <w:spacing w:after="0"/>
              <w:rPr>
                <w:sz w:val="16"/>
                <w:szCs w:val="16"/>
                <w:color w:val="auto"/>
              </w:rPr>
            </w:pPr>
          </w:p>
        </w:tc>
      </w:tr>
      <w:tr>
        <w:trPr>
          <w:trHeight w:val="19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color w:val="auto"/>
              </w:rPr>
              <w:t>2025</w:t>
            </w:r>
          </w:p>
        </w:tc>
      </w:tr>
      <w:tr>
        <w:trPr>
          <w:trHeight w:val="16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49"/>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Six months ended May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
        </w:trPr>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all net investment hedges, no amounts have been reclassified out of accumulated other comprehensive loss. The amounts noted in the tables above for OCI do not include any adjustments for the impact of deferred income taxes.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Sale Program</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maintain a non-recourse accounts receivable sale program whereby certain eligible U.S. receivables are sold to a third-party financial institution in exchange for cash. The program provides us with an additional means for managing liquidity. We account for the transfer of receivables as a sale at the point control is transferred and remove the sold receivables from our condensed consolidated balance sheet. The proceeds from the sales of receivables are included in cash from operating activities in the consolidated statement of cash flows. Under the terms of the arrangement, we act as the collecting agent on behalf of the financial institution for sold receivables of $406.1 million and $430.0 million as of May 31, 2026 and November 30, 2025, respectively. As collecting agent, we had $36.1 million and $45.4 million of cash collected that was not yet remitted to the third-party financial institution as of May 31, 2026 and November 30, 2025, respectively. This obligation is reported within Other accrued liabilities on the consolidated balance sheet and within cash flows from financing activities on the consolidated cash flow statement. For the three and six months ended May 31, 2026, the incremental costs of the receivable sale program totaled $4.7 million and $8.9 million, respectively, and were recognized as a reduction of Net sales. For the three and six months ended May 31, 2025, the incremental costs of the receivable sale program totaled $4.1 million and $8.0 million, respectively.</w:t>
      </w:r>
    </w:p>
    <w:p>
      <w:pPr>
        <w:spacing w:after="0" w:line="200" w:lineRule="exact"/>
        <w:rPr>
          <w:sz w:val="20"/>
          <w:szCs w:val="20"/>
          <w:color w:val="auto"/>
        </w:rPr>
      </w:pPr>
    </w:p>
    <w:p>
      <w:pPr>
        <w:spacing w:after="0" w:line="3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FAIR VALUE MEASUREMENTS</w:t>
      </w:r>
    </w:p>
    <w:p>
      <w:pPr>
        <w:spacing w:after="0" w:line="17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Fair value can be measured using valuation techniques, such as the market approach (comparable market prices), the income approach (present value of future income or cash flow), and the cost approach (cost to replace the service capacity of an asset or replacement cost). Accounting standards utilize a fair value hierarchy that prioritizes the inputs to valuation techniques used to measure fair value into three broad levels. The following is a brief description of those three levels:</w:t>
      </w:r>
    </w:p>
    <w:p>
      <w:pPr>
        <w:spacing w:after="0" w:line="123" w:lineRule="exact"/>
        <w:rPr>
          <w:sz w:val="20"/>
          <w:szCs w:val="20"/>
          <w:color w:val="auto"/>
        </w:rPr>
      </w:pPr>
    </w:p>
    <w:p>
      <w:pPr>
        <w:ind w:left="1300" w:hanging="48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(unadjusted) in active markets for identical assets or liabilities.</w:t>
      </w:r>
    </w:p>
    <w:p>
      <w:pPr>
        <w:spacing w:after="0" w:line="171" w:lineRule="exact"/>
        <w:rPr>
          <w:rFonts w:ascii="Times New Roman" w:cs="Times New Roman" w:eastAsia="Times New Roman" w:hAnsi="Times New Roman"/>
          <w:sz w:val="18"/>
          <w:szCs w:val="18"/>
          <w:color w:val="auto"/>
        </w:rPr>
      </w:pPr>
    </w:p>
    <w:p>
      <w:pPr>
        <w:ind w:left="1300" w:right="60" w:hanging="482"/>
        <w:spacing w:after="0" w:line="250"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36"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reflect management's own assumptions.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9" w:name="page20"/>
    <w:bookmarkEnd w:id="19"/>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At May 31, 2026 and November 30, 2025, we had no financial assets or liabilities that were subject to a level 3 fair value measurement. Our population of financial assets and liabilities subject to fair value measurements on a recurring basis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May 31, 2026</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Level 1</w:t>
            </w:r>
          </w:p>
        </w:tc>
        <w:tc>
          <w:tcPr>
            <w:tcW w:w="44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Level 2</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6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Bonds and money market fund 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8"/>
              </w:rPr>
              <w:t>Liabilities</w:t>
            </w:r>
          </w:p>
        </w:tc>
        <w:tc>
          <w:tcPr>
            <w:tcW w:w="60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color w:val="auto"/>
              </w:rPr>
              <w:t>November 30, 2025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Level 1</w:t>
            </w:r>
          </w:p>
        </w:tc>
        <w:tc>
          <w:tcPr>
            <w:tcW w:w="32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Level 2</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6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Bonds and money market fund 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74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7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contracts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At May 31, 2026 and November 30, 2025, the carrying amounts of cash and cash equivalents, interest rate derivatives, foreign currency derivatives, cross currency contracts, commodity contracts, insurance contracts, and bonds and money market fund investments were equal to their respective fair values. Because of their short-term nature, the amounts reported in the balance sheet for cash and cash equivalents, trade accounts receivables, short-term borrowings, and trade accounts payable approximate fair value. Investments in affiliates are not readily marketable, and it is not practicable to estimate their fair value.</w:t>
      </w:r>
    </w:p>
    <w:p>
      <w:pPr>
        <w:spacing w:after="0" w:line="6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Insurance contracts and bonds and money market fund investments are comprised of fixed income and equity securities held for certain non-qualified U.S. employee benefit plans and are stated at fair value on the balance sheet. The fair values of insurance contracts and bonds and money market fund investments are based upon the underlying values of the securities in which they are invested and are from quoted market prices from various stock and bond exchanges for similar type assets. The fair values for interest rate derivatives, foreign currency derivatives, cross currency contracts, and commodity contracts are based on values for similar instruments using models with market-based inputs.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0" w:name="page21"/>
    <w:bookmarkEnd w:id="20"/>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carrying amounts and fair values of our long-term debt including the current portion thereof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May 31, 2026</w:t>
            </w:r>
          </w:p>
        </w:tc>
        <w:tc>
          <w:tcPr>
            <w:tcW w:w="240" w:type="dxa"/>
            <w:vAlign w:val="bottom"/>
          </w:tcPr>
          <w:p>
            <w:pPr>
              <w:spacing w:after="0"/>
              <w:rPr>
                <w:sz w:val="16"/>
                <w:szCs w:val="16"/>
                <w:color w:val="auto"/>
              </w:rPr>
            </w:pPr>
          </w:p>
        </w:tc>
        <w:tc>
          <w:tcPr>
            <w:tcW w:w="160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November 30, 2025</w:t>
            </w:r>
          </w:p>
        </w:tc>
      </w:tr>
      <w:tr>
        <w:trPr>
          <w:trHeight w:val="2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3,614.9</w:t>
            </w:r>
          </w:p>
        </w:tc>
      </w:tr>
      <w:tr>
        <w:trPr>
          <w:trHeight w:val="270"/>
        </w:trPr>
        <w:tc>
          <w:tcPr>
            <w:tcW w:w="7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 valuation techniques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Level 2 valuation techniques</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48"/>
        </w:trPr>
        <w:tc>
          <w:tcPr>
            <w:tcW w:w="7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for Level 2 long-term debt is determined by using quoted prices for similar debt instruments.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AND RETIREMENT PLANS</w:t>
      </w:r>
    </w:p>
    <w:p>
      <w:pPr>
        <w:spacing w:after="0" w:line="17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212529"/>
        </w:rPr>
        <w:t>We sponsor defined benefit pension plans in the U.S. and certain foreign locations. Additionally, we sponsor defined contribution plans in the U.S. and contribute to defined contribution plans in various locations outside the U.S., including government-sponsored retirement plans. We also provide postretirement medical and life insurance benefits to certain U.S. employees and retirees. We previously froze the accrual of future benefits under certain defined benefit pension plans in the U.S. and certain foreign locations. Although our defined benefit plans in the U.S., United Kingdom (UK), and Canada have generally been frozen, employees who are participants in the plans retained benefits accumulated up to the date of the freeze, based on credited service and eligible earnings, in accordance with the terms of the plans.</w:t>
      </w:r>
    </w:p>
    <w:p>
      <w:pPr>
        <w:spacing w:after="0" w:line="12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components of our pension (income) and other postretirement benefits expense for the three and six months ended May 31, 2026 and 2025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United States pension</w:t>
            </w:r>
          </w:p>
        </w:tc>
        <w:tc>
          <w:tcPr>
            <w:tcW w:w="260" w:type="dxa"/>
            <w:vAlign w:val="bottom"/>
          </w:tcPr>
          <w:p>
            <w:pPr>
              <w:spacing w:after="0"/>
              <w:rPr>
                <w:sz w:val="16"/>
                <w:szCs w:val="16"/>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International pension</w:t>
            </w:r>
          </w:p>
        </w:tc>
        <w:tc>
          <w:tcPr>
            <w:tcW w:w="220" w:type="dxa"/>
            <w:vAlign w:val="bottom"/>
          </w:tcPr>
          <w:p>
            <w:pPr>
              <w:spacing w:after="0"/>
              <w:rPr>
                <w:sz w:val="16"/>
                <w:szCs w:val="16"/>
                <w:color w:val="auto"/>
              </w:rPr>
            </w:pPr>
          </w:p>
        </w:tc>
        <w:tc>
          <w:tcPr>
            <w:tcW w:w="216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color w:val="auto"/>
              </w:rPr>
              <w:t>Other postretirement benefits</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6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8"/>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 (gains)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8"/>
              </w:rPr>
              <w:t>(0.9)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Six months ended May 31,</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8"/>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losses (gains)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six months ended May 31, 2026 and 2025, we contributed $4.0 million and $3.7 million, respectively, to our pension plans. Total contributions to our pension plans in fiscal year 2025 were $9.2 million.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of the amounts in the tables above for pension (income) and other postretirement benefits expense, other than service cost, were included in Other income, net within our consolidated income statements. The net aggregate amount of pension and other postretirement benefits income, excluding service cost components, was $(1.0) million and $(1.1) million for the three months</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9" w:right="439" w:bottom="1440" w:gutter="0" w:footer="0" w:header="0"/>
        </w:sectPr>
      </w:pPr>
    </w:p>
    <w:bookmarkStart w:id="21" w:name="page22"/>
    <w:bookmarkEnd w:id="21"/>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May 31, 2026 and 2025, respectively, and $(2.2) million and $(2.3) million for the six months ended May 31, 2026 and 2025, respectively.</w:t>
      </w:r>
    </w:p>
    <w:p>
      <w:pPr>
        <w:spacing w:after="0" w:line="200" w:lineRule="exact"/>
        <w:rPr>
          <w:sz w:val="20"/>
          <w:szCs w:val="20"/>
          <w:color w:val="auto"/>
        </w:rPr>
      </w:pPr>
    </w:p>
    <w:p>
      <w:pPr>
        <w:spacing w:after="0" w:line="20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STOCK-BASED COMPENSATION</w:t>
      </w:r>
    </w:p>
    <w:p>
      <w:pPr>
        <w:spacing w:after="0" w:line="17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three types of stock-based compensation awards: restricted stock units (RSUs), stock options, and company stock awarded as part of our long-term performance plan (LTPP). The following table sets forth the stock-based compensation expense recorded in Selling, general and administrative (SG&amp;A) expense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52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color w:val="auto"/>
              </w:rPr>
              <w:t>Three months ended May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color w:val="auto"/>
              </w:rPr>
              <w:t>Six months ended May 31,</w:t>
            </w:r>
          </w:p>
        </w:tc>
        <w:tc>
          <w:tcPr>
            <w:tcW w:w="48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7"/>
                <w:szCs w:val="17"/>
                <w:color w:val="auto"/>
              </w:rPr>
            </w:pPr>
          </w:p>
        </w:tc>
      </w:tr>
      <w:tr>
        <w:trPr>
          <w:trHeight w:val="23"/>
        </w:trPr>
        <w:tc>
          <w:tcPr>
            <w:tcW w:w="5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bl>
    <w:p>
      <w:pPr>
        <w:spacing w:after="0" w:line="23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2026 annual grant consisted of RSUs and stock awarded under our LTPP and occurred in the first quarter, similar to the 2025 annual grant. Substantially all the RSUs granted in 2026 and 2025 vest ratably over a three-year period or, if earlier, upon the holder’s retirement eligibility date. Stock awarded under our LTPP vest ratably over a three-year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stock option activity for the six months ended May 31, 2026 and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2026</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Borders>
              <w:top w:val="single" w:sz="8" w:color="auto"/>
            </w:tcBorders>
            <w:vMerge w:val="restart"/>
          </w:tcPr>
          <w:p>
            <w:pPr>
              <w:jc w:val="center"/>
              <w:ind w:left="368"/>
              <w:spacing w:after="0"/>
              <w:rPr>
                <w:sz w:val="20"/>
                <w:szCs w:val="20"/>
                <w:color w:val="auto"/>
              </w:rPr>
            </w:pPr>
            <w:r>
              <w:rPr>
                <w:rFonts w:ascii="Times New Roman" w:cs="Times New Roman" w:eastAsia="Times New Roman" w:hAnsi="Times New Roman"/>
                <w:sz w:val="14"/>
                <w:szCs w:val="14"/>
                <w:color w:val="auto"/>
              </w:rPr>
              <w:t>Number</w:t>
            </w: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98"/>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100" w:type="dxa"/>
            <w:vAlign w:val="bottom"/>
          </w:tcPr>
          <w:p>
            <w:pPr>
              <w:spacing w:after="0"/>
              <w:rPr>
                <w:sz w:val="11"/>
                <w:szCs w:val="11"/>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98"/>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(shares in millions)</w:t>
            </w:r>
          </w:p>
        </w:tc>
        <w:tc>
          <w:tcPr>
            <w:tcW w:w="1000" w:type="dxa"/>
            <w:vAlign w:val="bottom"/>
          </w:tcPr>
          <w:p>
            <w:pPr>
              <w:jc w:val="center"/>
              <w:ind w:left="368"/>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Exercise</w:t>
            </w: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78"/>
              <w:spacing w:after="0" w:line="145" w:lineRule="exact"/>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98"/>
        </w:trPr>
        <w:tc>
          <w:tcPr>
            <w:tcW w:w="5200" w:type="dxa"/>
            <w:vAlign w:val="bottom"/>
            <w:vMerge w:val="continue"/>
          </w:tcPr>
          <w:p>
            <w:pPr>
              <w:spacing w:after="0"/>
              <w:rPr>
                <w:sz w:val="17"/>
                <w:szCs w:val="17"/>
                <w:color w:val="auto"/>
              </w:rPr>
            </w:pPr>
          </w:p>
        </w:tc>
        <w:tc>
          <w:tcPr>
            <w:tcW w:w="100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Shares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Price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right="178"/>
              <w:spacing w:after="0"/>
              <w:rPr>
                <w:sz w:val="20"/>
                <w:szCs w:val="20"/>
                <w:color w:val="auto"/>
              </w:rPr>
            </w:pPr>
            <w:r>
              <w:rPr>
                <w:rFonts w:ascii="Times New Roman" w:cs="Times New Roman" w:eastAsia="Times New Roman" w:hAnsi="Times New Roman"/>
                <w:sz w:val="14"/>
                <w:szCs w:val="14"/>
                <w:color w:val="auto"/>
              </w:rPr>
              <w:t>Price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978"/>
              <w:spacing w:after="0"/>
              <w:rPr>
                <w:sz w:val="20"/>
                <w:szCs w:val="20"/>
                <w:color w:val="auto"/>
              </w:rPr>
            </w:pPr>
            <w:r>
              <w:rPr>
                <w:rFonts w:ascii="Times New Roman" w:cs="Times New Roman" w:eastAsia="Times New Roman" w:hAnsi="Times New Roman"/>
                <w:sz w:val="18"/>
                <w:szCs w:val="18"/>
                <w:color w:val="auto"/>
                <w:w w:val="97"/>
              </w:rPr>
              <w:t>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Pr>
          <w:p>
            <w:pPr>
              <w:spacing w:after="0"/>
              <w:rPr>
                <w:sz w:val="19"/>
                <w:szCs w:val="19"/>
                <w:color w:val="auto"/>
              </w:rPr>
            </w:pPr>
          </w:p>
        </w:tc>
        <w:tc>
          <w:tcPr>
            <w:tcW w:w="1440" w:type="dxa"/>
            <w:vAlign w:val="bottom"/>
          </w:tcPr>
          <w:p>
            <w:pPr>
              <w:jc w:val="center"/>
              <w:ind w:left="958"/>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center"/>
              <w:ind w:left="958"/>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the period</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ind w:left="978"/>
              <w:spacing w:after="0"/>
              <w:rPr>
                <w:sz w:val="20"/>
                <w:szCs w:val="20"/>
                <w:color w:val="auto"/>
              </w:rPr>
            </w:pPr>
            <w:r>
              <w:rPr>
                <w:rFonts w:ascii="Times New Roman" w:cs="Times New Roman" w:eastAsia="Times New Roman" w:hAnsi="Times New Roman"/>
                <w:sz w:val="18"/>
                <w:szCs w:val="18"/>
                <w:color w:val="auto"/>
                <w:w w:val="97"/>
              </w:rPr>
              <w:t>5.7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end of the period</w:t>
            </w:r>
          </w:p>
        </w:tc>
        <w:tc>
          <w:tcPr>
            <w:tcW w:w="10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ind w:left="978"/>
              <w:spacing w:after="0"/>
              <w:rPr>
                <w:sz w:val="20"/>
                <w:szCs w:val="20"/>
                <w:color w:val="auto"/>
              </w:rPr>
            </w:pPr>
            <w:r>
              <w:rPr>
                <w:rFonts w:ascii="Times New Roman" w:cs="Times New Roman" w:eastAsia="Times New Roman" w:hAnsi="Times New Roman"/>
                <w:sz w:val="18"/>
                <w:szCs w:val="18"/>
                <w:color w:val="auto"/>
                <w:w w:val="97"/>
              </w:rPr>
              <w:t>4.9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May 31, 2026, there is no intrinsic value (the difference between the exercise price and the market price) for options outstanding and options currently exercisable. The total intrinsic value of all options exercised during the six months ended May 31, 2026 and May 31, 2025 was $4.7 million and $8.2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RSU activity for the six months ended May 31, 2026 and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8"/>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100" w:type="dxa"/>
            <w:vAlign w:val="bottom"/>
          </w:tcPr>
          <w:p>
            <w:pPr>
              <w:spacing w:after="0"/>
              <w:rPr>
                <w:sz w:val="11"/>
                <w:szCs w:val="11"/>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8"/>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(shares in thousands)</w:t>
            </w:r>
          </w:p>
        </w:tc>
        <w:tc>
          <w:tcPr>
            <w:tcW w:w="1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98"/>
        </w:trPr>
        <w:tc>
          <w:tcPr>
            <w:tcW w:w="5200" w:type="dxa"/>
            <w:vAlign w:val="bottom"/>
            <w:vMerge w:val="continue"/>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Fair Value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78"/>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LTPP activity for the six months ended May 31, 2026 and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2026</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980" w:type="dxa"/>
            <w:vAlign w:val="bottom"/>
            <w:tcBorders>
              <w:top w:val="single" w:sz="8" w:color="auto"/>
            </w:tcBorders>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rPr>
              <w:t>Number</w:t>
            </w:r>
          </w:p>
        </w:tc>
        <w:tc>
          <w:tcPr>
            <w:tcW w:w="4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8"/>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100" w:type="dxa"/>
            <w:vAlign w:val="bottom"/>
          </w:tcPr>
          <w:p>
            <w:pPr>
              <w:spacing w:after="0"/>
              <w:rPr>
                <w:sz w:val="11"/>
                <w:szCs w:val="11"/>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78"/>
              <w:spacing w:after="0" w:line="133" w:lineRule="exact"/>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(shares in thousands)</w:t>
            </w:r>
          </w:p>
        </w:tc>
        <w:tc>
          <w:tcPr>
            <w:tcW w:w="980" w:type="dxa"/>
            <w:vAlign w:val="bottom"/>
          </w:tcPr>
          <w:p>
            <w:pPr>
              <w:jc w:val="center"/>
              <w:ind w:left="388"/>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14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78"/>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98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Fair Value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center"/>
              <w:ind w:right="178"/>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9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9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22" w:name="page23"/>
    <w:bookmarkEnd w:id="22"/>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INCOME TAXES</w:t>
      </w:r>
    </w:p>
    <w:p>
      <w:pPr>
        <w:spacing w:after="0" w:line="252"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Income tax expense for the three and six months ended May 31, 2026 included $7.6 million of net discrete tax benefits consisting principally of the following: (i) $4.2 million of tax benefit associated with the reversal of a deferred tax liability related to the reassessment of a permanent reinvestment assertion, (ii) $3.0 million of tax benefit associated with the adjustment of a valuation allowance, and (iii) $1.2 million net tax benefit resulting from the reversal of certain reserves for unrecognized tax benefits and related interest associated with the expiration of statutes of limitations in a non-U.S. jurisdiction.</w:t>
      </w:r>
    </w:p>
    <w:p>
      <w:pPr>
        <w:spacing w:after="0" w:line="14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Income tax expense for the three months ended May 31, 2025 included $2.4 million of net discrete tax benefits consisting principally of a $1.5 million net tax benefit resulting from the reversal of certain reserves for unrecognized tax benefits and related interest associated with the expiration of statutes of limitations in a non-U.S. jurisdiction and $0.9 million of excess tax benefits associated with stock compensation.</w:t>
      </w:r>
    </w:p>
    <w:p>
      <w:pPr>
        <w:spacing w:after="0" w:line="13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Income tax expense for the six months ended May 31, 2025 included $7.6 million of net discrete tax benefits consisting principally of the following: (i) $5.0 million net tax benefit resulting from the revaluation of deferred taxes associated with enacted legislation, (ii) $1.5 million net tax benefit resulting from the reversal of certain reserves for unrecognized tax benefits and related interest associated with the expiration of statutes of limitations in a non-U.S. jurisdiction, and (iii) $1.2 million of excess tax benefits associated with stock compensation.</w:t>
      </w:r>
    </w:p>
    <w:p>
      <w:pPr>
        <w:spacing w:after="0" w:line="11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Other than additions for current year tax positions and the discrete tax benefit associated with unrecognized tax benefits, as previously described, there were no significant changes to unrecognized tax benefits during the six months ended May 31, 2026.</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May 31, 2026, we believe the reasonably possible total amount of unrecognized tax benefits that could increase or decrease in the next 12 months as a result of various statute expirations, audit closures, and/or tax settlements would not be material to our consolidated financial statements.</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CAPITAL STOCK AND EARNINGS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reconciliation of average shares outstanding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4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6120" w:type="dxa"/>
            <w:vAlign w:val="bottom"/>
            <w:gridSpan w:val="2"/>
          </w:tcPr>
          <w:p>
            <w:pPr>
              <w:ind w:left="5780"/>
              <w:spacing w:after="0"/>
              <w:rPr>
                <w:sz w:val="20"/>
                <w:szCs w:val="20"/>
                <w:color w:val="auto"/>
              </w:rPr>
            </w:pPr>
            <w:r>
              <w:rPr>
                <w:rFonts w:ascii="Times New Roman" w:cs="Times New Roman" w:eastAsia="Times New Roman" w:hAnsi="Times New Roman"/>
                <w:sz w:val="14"/>
                <w:szCs w:val="14"/>
                <w:color w:val="auto"/>
              </w:rPr>
              <w:t>2026</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5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shares outstanding – basic</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3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options/RSUs/LTPP</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shares outstanding – diluted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0"/>
        </w:trPr>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stock options and RSUs that were not considered in our earnings per share calculation since they were anti-dilutive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5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637"/>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6200" w:type="dxa"/>
            <w:vAlign w:val="bottom"/>
            <w:gridSpan w:val="2"/>
          </w:tcPr>
          <w:p>
            <w:pPr>
              <w:ind w:left="5780"/>
              <w:spacing w:after="0"/>
              <w:rPr>
                <w:sz w:val="20"/>
                <w:szCs w:val="20"/>
                <w:color w:val="auto"/>
              </w:rPr>
            </w:pPr>
            <w:r>
              <w:rPr>
                <w:rFonts w:ascii="Times New Roman" w:cs="Times New Roman" w:eastAsia="Times New Roman" w:hAnsi="Times New Roman"/>
                <w:sz w:val="14"/>
                <w:szCs w:val="14"/>
                <w:color w:val="auto"/>
              </w:rPr>
              <w:t>2026</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50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5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5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common stock activity (in millions):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6"/>
        </w:trPr>
        <w:tc>
          <w:tcPr>
            <w:tcW w:w="5220" w:type="dxa"/>
            <w:vAlign w:val="bottom"/>
          </w:tcPr>
          <w:p>
            <w:pPr>
              <w:spacing w:after="0"/>
              <w:rPr>
                <w:sz w:val="17"/>
                <w:szCs w:val="17"/>
                <w:color w:val="auto"/>
              </w:rPr>
            </w:pPr>
          </w:p>
        </w:tc>
        <w:tc>
          <w:tcPr>
            <w:tcW w:w="25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3"/>
          </w:tcPr>
          <w:p>
            <w:pPr>
              <w:jc w:val="right"/>
              <w:ind w:right="637"/>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6200" w:type="dxa"/>
            <w:vAlign w:val="bottom"/>
            <w:gridSpan w:val="2"/>
          </w:tcPr>
          <w:p>
            <w:pPr>
              <w:ind w:left="5780"/>
              <w:spacing w:after="0"/>
              <w:rPr>
                <w:sz w:val="20"/>
                <w:szCs w:val="20"/>
                <w:color w:val="auto"/>
              </w:rPr>
            </w:pPr>
            <w:r>
              <w:rPr>
                <w:rFonts w:ascii="Times New Roman" w:cs="Times New Roman" w:eastAsia="Times New Roman" w:hAnsi="Times New Roman"/>
                <w:sz w:val="14"/>
                <w:szCs w:val="14"/>
                <w:color w:val="auto"/>
              </w:rPr>
              <w:t>2026</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50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440" w:type="dxa"/>
            <w:vAlign w:val="bottom"/>
          </w:tcPr>
          <w:p>
            <w:pPr>
              <w:jc w:val="right"/>
              <w:ind w:right="497"/>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6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55"/>
        </w:trPr>
        <w:tc>
          <w:tcPr>
            <w:tcW w:w="52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Shares issued under stock options, RSUs, LTPP, and employee stock</w:t>
            </w:r>
          </w:p>
        </w:tc>
        <w:tc>
          <w:tcPr>
            <w:tcW w:w="9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24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175"/>
        </w:trPr>
        <w:tc>
          <w:tcPr>
            <w:tcW w:w="6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under the stock repurchase program and shares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withheld for taxes under stock options, RSUs, and LTPP</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May 31, 2026, $403 million remained of the $600 million share repurchase program authorization approved by our Board of Directors in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3" w:name="page24"/>
    <w:bookmarkEnd w:id="23"/>
    <w:p>
      <w:pPr>
        <w:ind w:left="853"/>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3"/>
        <w:spacing w:after="0"/>
        <w:tabs>
          <w:tab w:leader="none" w:pos="412"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ACCUMULATED OTHER COMPREHENSIVE LOSS ATTRIBUTABLE TO McCORMICK</w:t>
      </w:r>
    </w:p>
    <w:p>
      <w:pPr>
        <w:spacing w:after="0" w:line="200" w:lineRule="exact"/>
        <w:rPr>
          <w:sz w:val="20"/>
          <w:szCs w:val="20"/>
          <w:color w:val="auto"/>
        </w:rPr>
      </w:pPr>
    </w:p>
    <w:p>
      <w:pPr>
        <w:spacing w:after="0" w:line="214"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color w:val="auto"/>
        </w:rPr>
        <w:t>The following table sets forth the components of accumulated other comprehensive income (loss), net of tax, where applicable (in millions):</w:t>
      </w:r>
    </w:p>
    <w:p>
      <w:pPr>
        <w:spacing w:after="0" w:line="32" w:lineRule="exact"/>
        <w:rPr>
          <w:sz w:val="20"/>
          <w:szCs w:val="20"/>
          <w:color w:val="auto"/>
        </w:rPr>
      </w:pPr>
    </w:p>
    <w:tbl>
      <w:tblPr>
        <w:tblLayout w:type="fixed"/>
        <w:tblInd w:w="33"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May 31, 2026</w:t>
            </w:r>
          </w:p>
        </w:tc>
        <w:tc>
          <w:tcPr>
            <w:tcW w:w="220" w:type="dxa"/>
            <w:vAlign w:val="bottom"/>
          </w:tcPr>
          <w:p>
            <w:pPr>
              <w:spacing w:after="0"/>
              <w:rPr>
                <w:sz w:val="16"/>
                <w:szCs w:val="16"/>
                <w:color w:val="auto"/>
              </w:rPr>
            </w:pPr>
          </w:p>
        </w:tc>
        <w:tc>
          <w:tcPr>
            <w:tcW w:w="160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November 30, 2025</w:t>
            </w:r>
          </w:p>
        </w:tc>
      </w:tr>
      <w:tr>
        <w:trPr>
          <w:trHeight w:val="23"/>
        </w:trPr>
        <w:tc>
          <w:tcPr>
            <w:tcW w:w="7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Foreign currency translation adjustment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9"/>
        </w:trPr>
        <w:tc>
          <w:tcPr>
            <w:tcW w:w="7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Unrealized net gain (loss) on cash flow hedges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value of settled interest rate swaps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costs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attributable to McCormick</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33" w:right="200" w:hanging="333"/>
        <w:spacing w:after="0" w:line="261"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May 31, 2026, the foreign currency translation adjustment of Accumulated other comprehensive loss decreased on a net basis by $169.2 million, inclusive of $3.2 million of unrealized losses associated with net investment hedges and $40.6 million of foreign currency translation loss associated with our prior 50% ownership interest in McCormick de Mexico that was reclassified from Accumulated other comprehensive loss as more fully described in Note 2. Net investment hedges are more fully described in Note 4.</w:t>
      </w:r>
    </w:p>
    <w:p>
      <w:pPr>
        <w:spacing w:after="0" w:line="179"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May 31, 2026, the unrealized net gain on cash flow hedges increased on a net basis by $33.8 million, inclusive of</w:t>
      </w:r>
    </w:p>
    <w:p>
      <w:pPr>
        <w:spacing w:after="0" w:line="27" w:lineRule="exact"/>
        <w:rPr>
          <w:rFonts w:ascii="Times New Roman" w:cs="Times New Roman" w:eastAsia="Times New Roman" w:hAnsi="Times New Roman"/>
          <w:sz w:val="18"/>
          <w:szCs w:val="18"/>
          <w:color w:val="auto"/>
        </w:rPr>
      </w:pPr>
    </w:p>
    <w:p>
      <w:pPr>
        <w:ind w:left="333"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unrealized net loss on cash flow hedges associated with our prior 50% ownership interest in McCormick de Mexico that was reclassified from Accumulated other comprehensive loss as more fully described in Note 2. Cash flow hedges are more fully described in Note 4.</w:t>
      </w:r>
    </w:p>
    <w:p>
      <w:pPr>
        <w:spacing w:after="0" w:line="208" w:lineRule="exact"/>
        <w:rPr>
          <w:sz w:val="20"/>
          <w:szCs w:val="20"/>
          <w:color w:val="auto"/>
        </w:rPr>
      </w:pPr>
    </w:p>
    <w:p>
      <w:pPr>
        <w:ind w:left="33" w:right="7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amounts reclassified from accumulated other comprehensive income (loss) and into consolidated net income (in millions):</w:t>
      </w:r>
    </w:p>
    <w:p>
      <w:pPr>
        <w:spacing w:after="0" w:line="117" w:lineRule="exact"/>
        <w:rPr>
          <w:sz w:val="20"/>
          <w:szCs w:val="20"/>
          <w:color w:val="auto"/>
        </w:rPr>
      </w:pPr>
    </w:p>
    <w:tbl>
      <w:tblPr>
        <w:tblLayout w:type="fixed"/>
        <w:tblInd w:w="33"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Six months ended May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Affected Line Items in the</w:t>
            </w:r>
          </w:p>
        </w:tc>
        <w:tc>
          <w:tcPr>
            <w:tcW w:w="0" w:type="dxa"/>
            <w:vAlign w:val="bottom"/>
          </w:tcPr>
          <w:p>
            <w:pPr>
              <w:spacing w:after="0"/>
              <w:rPr>
                <w:sz w:val="1"/>
                <w:szCs w:val="1"/>
                <w:color w:val="auto"/>
              </w:rPr>
            </w:pPr>
          </w:p>
        </w:tc>
      </w:tr>
      <w:tr>
        <w:trPr>
          <w:trHeight w:val="50"/>
        </w:trPr>
        <w:tc>
          <w:tcPr>
            <w:tcW w:w="4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Condensed Consolidated Income</w:t>
            </w:r>
          </w:p>
        </w:tc>
        <w:tc>
          <w:tcPr>
            <w:tcW w:w="0" w:type="dxa"/>
            <w:vAlign w:val="bottom"/>
          </w:tcPr>
          <w:p>
            <w:pPr>
              <w:spacing w:after="0"/>
              <w:rPr>
                <w:sz w:val="1"/>
                <w:szCs w:val="1"/>
                <w:color w:val="auto"/>
              </w:rPr>
            </w:pPr>
          </w:p>
        </w:tc>
      </w:tr>
      <w:tr>
        <w:trPr>
          <w:trHeight w:val="212"/>
        </w:trPr>
        <w:tc>
          <w:tcPr>
            <w:tcW w:w="40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Statement</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cash flow hedges: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Commodity contracts</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Total before tax</w:t>
            </w:r>
          </w:p>
        </w:tc>
        <w:tc>
          <w:tcPr>
            <w:tcW w:w="8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Tax effect</w:t>
            </w: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Net, after tax</w:t>
            </w: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pension and postretirement benefit</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prior service costs</w:t>
            </w:r>
            <w:r>
              <w:rPr>
                <w:rFonts w:ascii="Times New Roman" w:cs="Times New Roman" w:eastAsia="Times New Roman" w:hAnsi="Times New Roman"/>
                <w:sz w:val="23"/>
                <w:szCs w:val="23"/>
                <w:color w:val="auto"/>
                <w:vertAlign w:val="superscript"/>
              </w:rPr>
              <w:t>(1)</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net actuarial (gains)</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0" w:type="dxa"/>
            <w:vAlign w:val="bottom"/>
          </w:tcPr>
          <w:p>
            <w:pPr>
              <w:spacing w:after="0"/>
              <w:rPr>
                <w:sz w:val="1"/>
                <w:szCs w:val="1"/>
                <w:color w:val="auto"/>
              </w:rPr>
            </w:pPr>
          </w:p>
        </w:tc>
      </w:tr>
      <w:tr>
        <w:trPr>
          <w:trHeight w:val="223"/>
        </w:trPr>
        <w:tc>
          <w:tcPr>
            <w:tcW w:w="4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before tax</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Tax effect</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23"/>
        </w:trPr>
        <w:tc>
          <w:tcPr>
            <w:tcW w:w="4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after tax</w:t>
            </w:r>
          </w:p>
        </w:tc>
        <w:tc>
          <w:tcPr>
            <w:tcW w:w="8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as a result of McCormick de Mexico</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into earnings upon acquisition</w:t>
            </w:r>
          </w:p>
        </w:tc>
        <w:tc>
          <w:tcPr>
            <w:tcW w:w="800" w:type="dxa"/>
            <w:vAlign w:val="bottom"/>
            <w:vMerge w:val="restart"/>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unconsolidated</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controlling interest</w:t>
            </w:r>
          </w:p>
        </w:tc>
        <w:tc>
          <w:tcPr>
            <w:tcW w:w="80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w:t>
            </w:r>
          </w:p>
        </w:tc>
        <w:tc>
          <w:tcPr>
            <w:tcW w:w="0" w:type="dxa"/>
            <w:vAlign w:val="bottom"/>
          </w:tcPr>
          <w:p>
            <w:pPr>
              <w:spacing w:after="0"/>
              <w:rPr>
                <w:sz w:val="1"/>
                <w:szCs w:val="1"/>
                <w:color w:val="auto"/>
              </w:rPr>
            </w:pPr>
          </w:p>
        </w:tc>
      </w:tr>
      <w:tr>
        <w:trPr>
          <w:trHeight w:val="223"/>
        </w:trPr>
        <w:tc>
          <w:tcPr>
            <w:tcW w:w="4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 before tax</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Tax effect</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0" w:type="dxa"/>
            <w:vAlign w:val="bottom"/>
          </w:tcPr>
          <w:p>
            <w:pPr>
              <w:spacing w:after="0"/>
              <w:rPr>
                <w:sz w:val="1"/>
                <w:szCs w:val="1"/>
                <w:color w:val="auto"/>
              </w:rPr>
            </w:pPr>
          </w:p>
        </w:tc>
      </w:tr>
      <w:tr>
        <w:trPr>
          <w:trHeight w:val="223"/>
        </w:trPr>
        <w:tc>
          <w:tcPr>
            <w:tcW w:w="4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Net, after tax</w:t>
            </w:r>
          </w:p>
        </w:tc>
        <w:tc>
          <w:tcPr>
            <w:tcW w:w="8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7136765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73"/>
          </w:cols>
          <w:pgMar w:left="287" w:top="279" w:right="339" w:bottom="1440" w:gutter="0" w:footer="0" w:header="0"/>
        </w:sectPr>
      </w:pPr>
    </w:p>
    <w:bookmarkStart w:id="24" w:name="page25"/>
    <w:bookmarkEnd w:id="24"/>
    <w:p>
      <w:pPr>
        <w:ind w:left="853"/>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33" w:right="380" w:hanging="333"/>
        <w:spacing w:after="0" w:line="282"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accumulated other comprehensive income (loss) component is included in the computation of total pension (income) and other postretirement benefits expense. Refer to Note 6 for additional details.</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433" w:hanging="392"/>
        <w:spacing w:after="0"/>
        <w:tabs>
          <w:tab w:leader="none" w:pos="4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w:t>
      </w:r>
    </w:p>
    <w:p>
      <w:pPr>
        <w:spacing w:after="0" w:line="171" w:lineRule="exact"/>
        <w:rPr>
          <w:sz w:val="20"/>
          <w:szCs w:val="20"/>
          <w:color w:val="auto"/>
        </w:rPr>
      </w:pPr>
    </w:p>
    <w:p>
      <w:pPr>
        <w:ind w:left="33" w:right="20"/>
        <w:spacing w:after="0" w:line="245" w:lineRule="auto"/>
        <w:rPr>
          <w:sz w:val="20"/>
          <w:szCs w:val="20"/>
          <w:color w:val="auto"/>
        </w:rPr>
      </w:pPr>
      <w:r>
        <w:rPr>
          <w:rFonts w:ascii="Times New Roman" w:cs="Times New Roman" w:eastAsia="Times New Roman" w:hAnsi="Times New Roman"/>
          <w:sz w:val="18"/>
          <w:szCs w:val="18"/>
          <w:color w:val="auto"/>
        </w:rPr>
        <w:t>We operate in two business segments: Consumer and Flavor Solutions. The Consumer and Flavor Solutions segments manufacture, market, and distribute spices, herbs, seasoning mixes, condiments, and other flavorful products throughout the world. Our Consumer segment sells to retail channels, including grocery, mass merchandise, warehouse clubs, discount and drug stores, and e-commerce under the “McCormick” brand and a variety of brands around the world, including “French’s,” “Frank’s RedHot,” “Lawry’s,” “Zatarain’s,” “Simply Asia,” “Thai Kitchen,” “Ducros,” “Vahiné,” “Cholula,” “Schwartz,” “Club House,” “Kamis,” “DaQiao,” “La Drogheria,” “Stubb’s,” “OLD BAY,” and “Gourmet Garden.” Our Flavor Solutions segment sells to food manufacturers and the foodservice industry both directly and indirectly through distributors, with the exception of our business in China, where foodservice sales are managed by and reported in our Consumer segment.</w:t>
      </w:r>
    </w:p>
    <w:p>
      <w:pPr>
        <w:spacing w:after="0" w:line="127" w:lineRule="exact"/>
        <w:rPr>
          <w:sz w:val="20"/>
          <w:szCs w:val="20"/>
          <w:color w:val="auto"/>
        </w:rPr>
      </w:pPr>
    </w:p>
    <w:p>
      <w:pPr>
        <w:ind w:left="33"/>
        <w:spacing w:after="0" w:line="244" w:lineRule="auto"/>
        <w:rPr>
          <w:sz w:val="20"/>
          <w:szCs w:val="20"/>
          <w:color w:val="auto"/>
        </w:rPr>
      </w:pPr>
      <w:r>
        <w:rPr>
          <w:rFonts w:ascii="Times New Roman" w:cs="Times New Roman" w:eastAsia="Times New Roman" w:hAnsi="Times New Roman"/>
          <w:sz w:val="18"/>
          <w:szCs w:val="18"/>
          <w:color w:val="auto"/>
        </w:rPr>
        <w:t>Our CODM is our Chairman, President &amp; Chief Executive Officer. Our CODM uses operating income excluding special charges and transaction and integration expenses related to our acquisitions to manage segment performance and allocate resources across segments and considers variances of actual performance to our annual budget and periodic forecasts as well as year over year performance when making decisions. Special charges and transaction and integration expenses are excluded from operating income in our internal reporting to the CODM as this activity is managed separately from the business segments. Activity related to special charges, including transaction and integration expenses, is described in Note 3. Transaction and integration expenses include the amortization of the acquisition-date fair value adjustment of inventories included in Cost of goods sold, costs directly associated with that acquisition and costs associated with integrating the businesses. We also exclude the gain on remeasurement of previously held equity interest from operating income in our internal reporting to the CODM, which was recorded upon consolidation of McCormick de Mexico during the first quarter of 2026 and is described in more detail in Note 2.</w:t>
      </w:r>
    </w:p>
    <w:p>
      <w:pPr>
        <w:spacing w:after="0" w:line="131" w:lineRule="exact"/>
        <w:rPr>
          <w:sz w:val="20"/>
          <w:szCs w:val="20"/>
          <w:color w:val="auto"/>
        </w:rPr>
      </w:pPr>
    </w:p>
    <w:p>
      <w:pPr>
        <w:ind w:left="33" w:right="120"/>
        <w:spacing w:after="0" w:line="250" w:lineRule="auto"/>
        <w:rPr>
          <w:sz w:val="20"/>
          <w:szCs w:val="20"/>
          <w:color w:val="auto"/>
        </w:rPr>
      </w:pPr>
      <w:r>
        <w:rPr>
          <w:rFonts w:ascii="Times New Roman" w:cs="Times New Roman" w:eastAsia="Times New Roman" w:hAnsi="Times New Roman"/>
          <w:sz w:val="18"/>
          <w:szCs w:val="18"/>
          <w:color w:val="auto"/>
        </w:rPr>
        <w:t>Although the segments are managed separately due to their distinct distribution channels and marketing strategies, manufacturing and warehousing are often integrated to maximize cost efficiencies. As a result, jointly utilized assets, including fixed assets, and depreciation and amortization expense are not maintained by individual segment. Depreciation and amortization expense is allocated to the segments except for amounts that are recognized in interest. Because of manufacturing integration for certain products within the segments, products are not sold from one segment to another but rather inventory is transferred at cost. Inter-segment transfers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87" w:top="27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Flavor Solutions</w:t>
            </w:r>
          </w:p>
        </w:tc>
        <w:tc>
          <w:tcPr>
            <w:tcW w:w="380" w:type="dxa"/>
            <w:vAlign w:val="bottom"/>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448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Three months ended May 31, 2026</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52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SG&amp;A expense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340" w:type="dxa"/>
            <w:vAlign w:val="bottom"/>
            <w:gridSpan w:val="3"/>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Three months ended May 31, 2025</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52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tcBorders>
              <w:top w:val="single" w:sz="8" w:color="CCEEFF"/>
            </w:tcBorders>
          </w:tcPr>
          <w:p>
            <w:pPr>
              <w:spacing w:after="0"/>
              <w:rPr>
                <w:sz w:val="19"/>
                <w:szCs w:val="19"/>
                <w:color w:val="auto"/>
              </w:rPr>
            </w:pPr>
          </w:p>
        </w:tc>
        <w:tc>
          <w:tcPr>
            <w:tcW w:w="1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SG&amp;A expense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34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Six months ended May 31, 2026</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3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2140" w:type="dxa"/>
            <w:vAlign w:val="bottom"/>
            <w:tcBorders>
              <w:top w:val="single" w:sz="8" w:color="CCEEFF"/>
            </w:tcBorders>
            <w:gridSpan w:val="2"/>
          </w:tcPr>
          <w:p>
            <w:pPr>
              <w:spacing w:after="0"/>
              <w:rPr>
                <w:sz w:val="19"/>
                <w:szCs w:val="19"/>
                <w:color w:val="auto"/>
              </w:rPr>
            </w:pPr>
          </w:p>
        </w:tc>
        <w:tc>
          <w:tcPr>
            <w:tcW w:w="1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1,522.8</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3,810.5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 excluding special charges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SG&amp;A expense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340" w:type="dxa"/>
            <w:vAlign w:val="bottom"/>
            <w:gridSpan w:val="3"/>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Six months ended May 31, 2025</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3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2140" w:type="dxa"/>
            <w:vAlign w:val="bottom"/>
            <w:tcBorders>
              <w:top w:val="single" w:sz="8" w:color="CCEEFF"/>
            </w:tcBorders>
            <w:gridSpan w:val="2"/>
          </w:tcPr>
          <w:p>
            <w:pPr>
              <w:spacing w:after="0"/>
              <w:rPr>
                <w:sz w:val="19"/>
                <w:szCs w:val="19"/>
                <w:color w:val="auto"/>
              </w:rPr>
            </w:pPr>
          </w:p>
        </w:tc>
        <w:tc>
          <w:tcPr>
            <w:tcW w:w="18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1,849.8</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SG&amp;A expense</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0" w:type="dxa"/>
            <w:vAlign w:val="bottom"/>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reconciliation of cost of goods sold excluding special charges and operating income excluding special charges to cost of goods sold and operating income for the three and six months ended May 31, 2026 is as follows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Flavor Solutions</w:t>
            </w:r>
          </w:p>
        </w:tc>
        <w:tc>
          <w:tcPr>
            <w:tcW w:w="340" w:type="dxa"/>
            <w:vAlign w:val="bottom"/>
          </w:tcPr>
          <w:p>
            <w:pPr>
              <w:spacing w:after="0"/>
              <w:rPr>
                <w:sz w:val="18"/>
                <w:szCs w:val="18"/>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80" w:type="dxa"/>
            <w:vAlign w:val="bottom"/>
            <w:gridSpan w:val="3"/>
          </w:tcPr>
          <w:p>
            <w:pPr>
              <w:spacing w:after="0" w:line="175" w:lineRule="exact"/>
              <w:rPr>
                <w:sz w:val="20"/>
                <w:szCs w:val="20"/>
                <w:color w:val="auto"/>
              </w:rPr>
            </w:pPr>
            <w:r>
              <w:rPr>
                <w:rFonts w:ascii="Times New Roman" w:cs="Times New Roman" w:eastAsia="Times New Roman" w:hAnsi="Times New Roman"/>
                <w:sz w:val="18"/>
                <w:szCs w:val="18"/>
                <w:color w:val="auto"/>
              </w:rPr>
              <w:t>Three months ended May 31, 2026</w:t>
            </w: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Less: Special charges</w:t>
            </w: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Three months ended May 31, 2025</w:t>
            </w: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63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Less: Special charges</w:t>
            </w: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Six months ended May 31, 2026</w:t>
            </w: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63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 excluding special charges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Less: Special charges</w:t>
            </w: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260" w:type="dxa"/>
            <w:vAlign w:val="bottom"/>
            <w:tcBorders>
              <w:top w:val="single" w:sz="8" w:color="CCEEFF"/>
              <w:bottom w:val="single" w:sz="8" w:color="CCEEFF"/>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380" w:type="dxa"/>
            <w:vAlign w:val="bottom"/>
            <w:gridSpan w:val="3"/>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Special charges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Six months ended May 31, 2025</w:t>
            </w: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3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excluding special charges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Less: Special charges</w:t>
            </w: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preceding table provides a reconciliation of our segment operating income excluding special charges to our consolidated operating income. The reconciliation of that operating income to income from consolidated operations before income taxes, which includes interest expense and other income, net is presented on the consolidated income statement.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Geographic Area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sales, by geographic area, for the three and six months ended May 31, 2026 and 2025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40" w:type="dxa"/>
            <w:vAlign w:val="bottom"/>
          </w:tcPr>
          <w:p>
            <w:pPr>
              <w:spacing w:after="0"/>
              <w:rPr>
                <w:sz w:val="16"/>
                <w:szCs w:val="16"/>
                <w:color w:val="auto"/>
              </w:rPr>
            </w:pPr>
          </w:p>
        </w:tc>
        <w:tc>
          <w:tcPr>
            <w:tcW w:w="264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75"/>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3,265.0</w:t>
            </w: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44"/>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7" w:name="page28"/>
    <w:bookmarkEnd w:id="27"/>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15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The following Management’s Discussion and Analysis of Financial Condition and Results of Operations (MD&amp;A) is intended to help the reader understand McCormick &amp; Company, Incorporated, our operations, and our present business environment from the perspective of management. MD&amp;A is provided as a supplement to, and should be read in conjunction with, our condensed consolidated financial statements and the accompanying notes thereto, included in Item 1 of this report. We use certain non-GAAP information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more fully described below under the caption Non-GAAP Financial Measures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Unless otherwise noted, the dollar and share information in the charts and tables in MD&amp;A are in millions, except per share data.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profile</w:t>
      </w:r>
    </w:p>
    <w:p>
      <w:pPr>
        <w:spacing w:after="0" w:line="16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McCormick is a global leader in flavor. We manufacture, market, and distribute spices, seasoning mixes, condiments, and other flavorful products to the entire food and beverage industry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retailers, food manufacturers, and the foodservice business. In fiscal year 2025, approximately 39% of our sales were generated outside of the U.S. We also are partners in a number of joint ventures involved in the manufacture and sale of flavorful products. We manage our business in two business segments, Consumer and Flavor Solutions.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Events</w:t>
      </w:r>
    </w:p>
    <w:p>
      <w:pPr>
        <w:spacing w:after="0" w:line="173"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On January 2, 2026, we acquired an additional 25% ownership interest in McCormick de Mexico for a purchase price of $750.0 million, which increased our ownership to a 75% controlling interest. We believe the acquisition creates opportunities for further growth in the Mexican market and provides a strategic platform for further expansion in Latin America. McCormick de Mexico is a prominent food company in Mexico, with a broad portfolio, including mayonnaise, spices, marmalades, mustard, hot sauce, and tea, sold under McCormick brands. The acquisition is described in detail in Note 2 of the notes to our accompanying condensed consolidated financial statements.</w:t>
      </w:r>
    </w:p>
    <w:p>
      <w:pPr>
        <w:spacing w:after="0" w:line="12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On February 20, 2026, the U.S. Supreme Court ruled that certain tariffs imposed under IEEPA by the executive branch are not lawful. On March 4, 2026, the CIT ordered CBP to begin the refund process for all importers who were subject to IEEPA tariffs. On April 20, 2026, CBP established an online portal through which companies can submit IEEPA tariff refund requests. We submitted our refund request on April 28, 2026, which is described in Note 1 of the notes to our accompanying condensed consolidated financial statements. The CIT order has been appealed and we will continue to monitor U.S. tariff-related developments for further updates and any associated impacts on our consolidated financial statements.</w:t>
      </w:r>
    </w:p>
    <w:p>
      <w:pPr>
        <w:spacing w:after="0" w:line="12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On March 31, 2026, we entered into the Merger Agreement with Unilever, pursuant to which Unilever will separate its Unilever Foods business, excluding its foods businesses in India, Nepal and Portugal, as well as its Lifestyle &amp; Nutrition business, Buavita business and Lipton Ready-to-Drink business, and Unilever Foods will merge with a wholly owned subsidiary of McCormick in a transaction intended to qualify as a Reverse Morris Trust transaction. The transaction is generally expected to be tax-free to Unilever’s shareholders for U.S. federal income tax purposes, except to the extent that cash is paid to Unilever’s shareholders in lieu of fractional shares and provided that Unilever does not make the U.S. Asset Sale Election.</w:t>
      </w:r>
    </w:p>
    <w:p>
      <w:pPr>
        <w:spacing w:after="0" w:line="141"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Under the terms of the Merger Agreement, we will issue voting and non-voting securities to Unilever shareholders and Unilever in the same proportion as is currently held by our shareholders. The transactions contemplated by the Merger Agreement are expected to result in current Unilever shareholders owning approximately 55.1% of the combined company, our current shareholders owning approximately 35.0% of the combined company, and Unilever retaining up to approximately 9.9% of the total outstanding equity of the combined company, assuming Unilever does not elect under the Merger Agreement to dispose of such interest. Unilever will also receive a one-time $15.7 billion cash payment, subject to certain adjustments. The pending transaction is subject to the satisfaction or waiver of certain customary closing conditions, including shareholder and regulatory approvals. For additional information regarding the pending transaction, see Note 2 of the notes to our accompanying condensed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Summary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2026, we achieved net sales growth of 16.7% as compared to the same quarter of 2025, due to the following factors:</w:t>
      </w:r>
    </w:p>
    <w:p>
      <w:pPr>
        <w:spacing w:after="0" w:line="158" w:lineRule="exact"/>
        <w:rPr>
          <w:sz w:val="20"/>
          <w:szCs w:val="20"/>
          <w:color w:val="auto"/>
        </w:rPr>
      </w:pPr>
    </w:p>
    <w:p>
      <w:pPr>
        <w:ind w:left="660" w:right="26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Volume and product mix unfavorably impacted net sales by 0.5%. The Consumer segment experienced unfavorable volume and product mix of 1.9% and the Flavor Solutions segment experienced favorable volume and product mix of 1.4%.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8" w:name="page29"/>
    <w:bookmarkEnd w:id="28"/>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right="2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favorably impacted net sales by 2.2%. The Consumer segment experienced favorable pricing of 2.7% and the Flavor Solutions segment experienced favorable pricing of 1.5%.</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acquisition of McCormick de Mexico contributed 12.3% of our net sales growth.</w:t>
      </w:r>
    </w:p>
    <w:p>
      <w:pPr>
        <w:spacing w:after="0" w:line="15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rates positively impacted net sales by 2.7%. Fluctuations in currency rates positively impacted our Consumer segment sales growth by 2.4% and our Flavor Solutions segment sales growth by 3.0%.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was $276.4 million in the second quarter of 2026, compared to $245.8 million in the same period of 2025, reflecting an increase of</w:t>
      </w:r>
    </w:p>
    <w:p>
      <w:pPr>
        <w:spacing w:after="0" w:line="1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12.4%. Our gross profit margin increased by 270 basis points driven by the impacts of the McCormick de Mexico acquisition, favorable pricing, the IEEPA tariff refund, and cost savings from the Company's Comprehensive Continuous Improvement (CCI) program, partially offset by increased commodity costs and higher freight costs due to the conflict in the Middle East. Selling, general, and administrative (SG&amp;A) expense as a percentage of sales increased by 90 basis points, primarily driven by the impact of the McCormick de Mexico acquisition and increased investments in technology. Excluding special charges, adjusted operating income was $336.4 million in the second quarter of 2026, reflecting an increase of 30.1% compared to $258.6 million in the 2025 period, primarily driven by the impact of the McCormick de Mexico acquisition and the IEEPA tariff refund. In constant currency, adjusted operating income increased by 27.3%.</w:t>
      </w:r>
    </w:p>
    <w:p>
      <w:pPr>
        <w:spacing w:after="0" w:line="13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Diluted earnings per share was $0.56 and $0.65 in the second quarters of 2026 and 2025, respectively. Special charges, including transaction and integration costs, lowered diluted earnings per share by $0.24 and $0.04 in the second quarters of 2026 and 2025, respectively. Excluding the effects of special charges, adjusted diluted earnings per share was $0.80 and $0.69 in the second quarters of 2026 and 2025, respectively. The increase in adjusted diluted earnings per share was driven by favorable operating income and a decrease in the effective tax rate, partially offset by lower income from unconsolidated operations, higher income attributable to noncontrolling interests, an increase in interest expense, and a decrease in other income.</w:t>
      </w:r>
    </w:p>
    <w:p>
      <w:pPr>
        <w:spacing w:after="0" w:line="12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 detailed review of our second quarter 2026 performance compared to the second quarter of fiscal 2025 appears in the section titled “Results of Operations – Company” and “Results of Operations – Segments.” For a reconciliation of non-GAAP to reported amounts, see the subsequent discussion under the heading “Non-GAAP Financial Measures.”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18"/>
          <w:szCs w:val="18"/>
          <w:i w:val="1"/>
          <w:iCs w:val="1"/>
          <w:color w:val="auto"/>
        </w:rPr>
        <w:t>Outlook</w:t>
      </w:r>
    </w:p>
    <w:p>
      <w:pPr>
        <w:spacing w:after="0" w:line="160"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Our fiscal 2026 outlook continues to reflect prioritized investments in key categories to sustain our volume trends and drive long-term profitable growth while appreciating the uncertainty of the consumer and macro environment, including global trade policies and the conflict in the Middle East. Our CCI program is continuing to fuel growth investments while also driving operating margin expansion. Our fiscal 2026 outlook also reflects meaningful contributions from the acquisition of a controlling interest in McCormick de Mexico, which closed on January 2, 2026.</w:t>
      </w:r>
    </w:p>
    <w:p>
      <w:pPr>
        <w:spacing w:after="0" w:line="137"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Our outlook for 2026 adjusted operating income and adjusted earnings per share are non-GAAP financial measures that exclude or otherwise adjust for items impacting comparability of financial results. We do not provide guidance on a GAAP basis as we cannot predict certain items included in GAAP results such as special charges, including transaction and integration expenses.</w:t>
      </w:r>
    </w:p>
    <w:p>
      <w:pPr>
        <w:spacing w:after="0" w:line="13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In 2026, we expect net sales to grow between 13% and 17% compared to 2025, including an 11% to 13% increase as a result of the acquisition of a controlling interest in McCormick de Mexico and a 1% favorable impact from foreign currency rates, or to grow from 1% to 3% on an organic basis. We anticipate that net sales will benefit from favorable volume and product mix and pricing.</w:t>
      </w:r>
    </w:p>
    <w:p>
      <w:pPr>
        <w:spacing w:after="0" w:line="13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2026, we expect an increase in adjusted operating income of 16% to 20% compared to 2025, including a 1% favorable impact from foreign currency rates, or to increase by 15% to 19% on a constant currency basis. This anticipated increase in adjusted operating income reflects adjusted gross margin expansion, accretion from the acquisition of the controlling interest in McCormick de Mexico and cost savings from our CCI program, partially offset by an increase in SG&amp;A expense, including increased investments in technology, performance-based employee compensation expenses and investments aimed at driving volume growth, particularly in brand marketing. We project our brand marketing investments in 2026 to rise by low to mid-teens digits, including the impact from the acquisition of the controlling interest in McCormick de Mexico, compared to 2025. The benefit of the IEEPA tariff refund is expected to be offset by increased inflation, including costs related to the Middle East conflict, and continued investments in business growth.</w:t>
      </w:r>
    </w:p>
    <w:p>
      <w:pPr>
        <w:spacing w:after="0" w:line="14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estimate that our 2026 adjusted effective tax rate, including the net favorable impact of anticipated discrete tax items, although at a lower amount than in 2025, will be 24.0% as compared to 21.5% in 2025.</w:t>
      </w:r>
    </w:p>
    <w:p>
      <w:pPr>
        <w:spacing w:after="0" w:line="108"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Adjusted diluted earnings per share was $3.00 in 2025. Adjusted diluted earnings per share is projected to range from $3.05 to $3.13 in 2026. We expect adjusted diluted earnings per share to increase by 2% to 5%, which includes a 1% favorable impact from currency rates, or to increase by 1% to 4% on a constant currency basis.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9" w:name="page30"/>
    <w:bookmarkEnd w:id="29"/>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 COMPANY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60" w:type="dxa"/>
            <w:vAlign w:val="bottom"/>
          </w:tcPr>
          <w:p>
            <w:pPr>
              <w:spacing w:after="0"/>
              <w:rPr>
                <w:sz w:val="16"/>
                <w:szCs w:val="16"/>
                <w:color w:val="auto"/>
              </w:rPr>
            </w:pPr>
          </w:p>
        </w:tc>
        <w:tc>
          <w:tcPr>
            <w:tcW w:w="28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4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4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1,936.6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3,265.0</w:t>
            </w:r>
          </w:p>
        </w:tc>
      </w:tr>
      <w:tr>
        <w:trPr>
          <w:trHeight w:val="229"/>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 increase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176"/>
        </w:trPr>
        <w:tc>
          <w:tcPr>
            <w:tcW w:w="45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 xml:space="preserve">Components of percent change in net sales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increase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4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Pricing actions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4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Volume and product mix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4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Acquisition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exchange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778.2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1,226.8</w:t>
            </w:r>
          </w:p>
        </w:tc>
      </w:tr>
      <w:tr>
        <w:trPr>
          <w:trHeight w:val="22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r>
    </w:tbl>
    <w:p>
      <w:pPr>
        <w:spacing w:after="0" w:line="225"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Sales for the second quarter of 2026 increased by 16.7% from the same period in 2025 and increased by 1.7% on an organic basis (that is, excluding the impact of acquisitions and foreign currency exchange as more fully described under the caption, Non-GAAP Financial Measures). The acquisition of McCormick de Mexico added 12.3% to net sales. Pricing favorably impacted sales by 2.2% with favorable pricing from our Consumer and Flavor Solutions segments of 2.7% and 1.5%, respectively. Unfavorable volume and product mix decreased sales by 0.5% with unfavorable volume and product mix from our Consumer segment of 1.9% partially offset by favorable volume and product mix from our Flavor Solutions segment of 1.4%. Foreign currency rates increased sales by 2.7%.</w:t>
      </w:r>
    </w:p>
    <w:p>
      <w:pPr>
        <w:spacing w:after="0" w:line="12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Sales for the six months ended May 31, 2026 increased by 16.7% from the same period in 2025 and increased by 1.4% on an organic basis. The acquisition of McCormick de Mexico added 12.4% to net sales. Pricing favorably impacted sales by 2.1% with favorable pricing from our Consumer and Flavor Solutions segments of 2.5% and 1.5%, respectively. Unfavorable volume and product mix decreased sales by 0.7% with unfavorable volume and product mix from our Consumer segment of 1.2% partially offset by favorable volume and product mix from our Flavor Solutions segment of 0.2%. Foreign currency rates increased sales by 2.9%.</w:t>
      </w:r>
    </w:p>
    <w:p>
      <w:pPr>
        <w:spacing w:after="0" w:line="123"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Gross profit for the second quarter of 2026 increased by $155.4 million, or 25.0%, from the same period of 2025. Our gross profit margin was 40.2%, an increase of 270 basis points, driven by the impacts of the McCormick de Mexico acquisition, favorable pricing, the IEEPA tariff refund, and cost savings from the Company's CCI program, partially offset by increased commodity costs and higher freight costs due to the conflict in the Middle East.</w:t>
      </w:r>
    </w:p>
    <w:p>
      <w:pPr>
        <w:spacing w:after="0" w:line="115" w:lineRule="exact"/>
        <w:rPr>
          <w:sz w:val="20"/>
          <w:szCs w:val="20"/>
          <w:color w:val="auto"/>
        </w:rPr>
      </w:pPr>
    </w:p>
    <w:p>
      <w:pPr>
        <w:jc w:val="both"/>
        <w:ind w:right="320"/>
        <w:spacing w:after="0" w:line="246" w:lineRule="auto"/>
        <w:rPr>
          <w:sz w:val="20"/>
          <w:szCs w:val="20"/>
          <w:color w:val="auto"/>
        </w:rPr>
      </w:pPr>
      <w:r>
        <w:rPr>
          <w:rFonts w:ascii="Times New Roman" w:cs="Times New Roman" w:eastAsia="Times New Roman" w:hAnsi="Times New Roman"/>
          <w:sz w:val="18"/>
          <w:szCs w:val="18"/>
          <w:color w:val="auto"/>
        </w:rPr>
        <w:t>Gross profit for the six months ended May 31, 2026 increased by $260.3 million, or 21.2%, from the same period in 2025. Our gross profit margin was 39.0%, an increase of 140 basis points, driven by the impact of the McCormick de Mexico acquisition, which included a step-up of acquired inventory recognized as special charges in Cost of goods sold as the related inventory was sold, favorable pricing, the impact of the IEEPA tariff refund, and cost savings from the Company's CCI program, partially offset by increased commodity costs and higher freight costs due to the conflict in the Middle East. Excluding the impact of special charges included in Cost of goods sold, adjusted gross margin was 39.4%, or an increase of 180 basis points.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60" w:type="dxa"/>
            <w:vAlign w:val="bottom"/>
          </w:tcPr>
          <w:p>
            <w:pPr>
              <w:spacing w:after="0"/>
              <w:rPr>
                <w:sz w:val="16"/>
                <w:szCs w:val="16"/>
                <w:color w:val="auto"/>
              </w:rPr>
            </w:pPr>
          </w:p>
        </w:tc>
        <w:tc>
          <w:tcPr>
            <w:tcW w:w="278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4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4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(SG&amp;A)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743.0</w:t>
            </w:r>
          </w:p>
        </w:tc>
      </w:tr>
      <w:tr>
        <w:trPr>
          <w:trHeight w:val="234"/>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 of net sales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r>
    </w:tbl>
    <w:p>
      <w:pPr>
        <w:spacing w:after="0" w:line="22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SG&amp;A expense increased by $77.6 million in the second quarter of 2026 as compared to the same period in 2025, driven primarily by the impact of the McCormick de Mexico acquisition, increased brand marketing expense, and increased investments in technology. SG&amp;A as a percentage of net sales increased by 90 basis points.</w:t>
      </w:r>
    </w:p>
    <w:p>
      <w:pPr>
        <w:spacing w:after="0" w:line="11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SG&amp;A expense increased by $155.1 million in the six months ended May 31, 2026 as compared to the same period in 2025, driven primarily by the impact of the McCormick de Mexico acquisition, increased brand marketing expense, and increased investments in technology. SG&amp;A as a percentage of net sales increased by 70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0" w:name="page31"/>
    <w:bookmarkEnd w:id="30"/>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46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color w:val="auto"/>
              </w:rPr>
              <w:t>Three months ended May 31,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524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5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3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During the three months ended May 31, 2026, we recorded $60.0 million of special charges, including transaction and integration expenses. Those expenses consisted of $57.6 million of transaction and integration costs, $1.8 million associated with employee severance and related benefits associated with our SG&amp;A streamlining actions and $0.6 million associated with other actions.</w:t>
      </w:r>
    </w:p>
    <w:p>
      <w:pPr>
        <w:spacing w:after="0" w:line="13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During the six months ended May 31, 2026, we recorded $85.1 million of special charges, including transaction and integration expenses. Those expenses consisted of $65.5 million of transaction and integration costs, $18.0 million associated with employee severance and related benefits associated with our SG&amp;A streamlining actions and $1.6 million associated with other actions.</w:t>
      </w:r>
    </w:p>
    <w:p>
      <w:pPr>
        <w:spacing w:after="0" w:line="13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May 31, 2025, we recorded $12.8 million of special charges, including transaction and integration expenses. Those expenses principally consisted of $11.4 million associated with employee severance and related benefits associated with our SG&amp;A streamlining actions, $0.8 million of transaction and integration costs, and $0.6 million associated with other actions.</w:t>
      </w:r>
    </w:p>
    <w:p>
      <w:pPr>
        <w:spacing w:after="0" w:line="136"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Details with respect to the composition of special charges, including transaction and integration expenses, are included in Note 3 of the notes to the accompanying condensed consolidated financial statements.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46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color w:val="auto"/>
              </w:rPr>
              <w:t>Three months ended May 31,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524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5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23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Interest expense increased by $11.7 million and $10.5 million for the three and six months ended May 31, 2026, respectively, compared to the same period in 2025, driven by $6.8 million of amortization of debt financing fees related to our pending merger with Unilever Foods, the effects of higher interest rates and the impact of higher average borrowing levels.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income, net, decreased by $3.3 million and $8.3 million for the three and six months ended May 31, 2026, respectively, compared to the same period in 2025 due to a lower level of interest income driven primarily by the impact of the acquisition of McCormick de Mexico on our average cash balance during the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60" w:type="dxa"/>
            <w:vAlign w:val="bottom"/>
          </w:tcPr>
          <w:p>
            <w:pPr>
              <w:spacing w:after="0"/>
              <w:rPr>
                <w:sz w:val="16"/>
                <w:szCs w:val="16"/>
                <w:color w:val="auto"/>
              </w:rPr>
            </w:pPr>
          </w:p>
        </w:tc>
        <w:tc>
          <w:tcPr>
            <w:tcW w:w="274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4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4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consolidated operations before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391.1</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bl>
    <w:p>
      <w:pPr>
        <w:spacing w:after="0" w:line="23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effective tax rate for the three months ended May 31, 2026 increased by 4.7% compared to the same periods in 2025 primarily driven by the unfavorable impact of acquisition related costs partially offset by the impact of discrete tax items which are described in more detail in Note 8 of the notes to our accompanying condensed consolidated financial statements.</w:t>
      </w:r>
    </w:p>
    <w:p>
      <w:pPr>
        <w:spacing w:after="0" w:line="1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effective tax rate for the six months ended May 31, 2026 increased by 4.5% compared to the same periods in 2025 primarily driven by the unfavorable impact of acquisition related costs.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60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color w:val="auto"/>
              </w:rPr>
              <w:t>Three months ended May 31,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2"/>
        </w:trPr>
        <w:tc>
          <w:tcPr>
            <w:tcW w:w="498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color w:val="auto"/>
              </w:rPr>
              <w:t>2025</w:t>
            </w:r>
          </w:p>
        </w:tc>
      </w:tr>
      <w:tr>
        <w:trPr>
          <w:trHeight w:val="24"/>
        </w:trPr>
        <w:tc>
          <w:tcPr>
            <w:tcW w:w="4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unconsolidated operations</w:t>
            </w:r>
          </w:p>
        </w:tc>
        <w:tc>
          <w:tcPr>
            <w:tcW w:w="104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1" w:name="page32"/>
    <w:bookmarkEnd w:id="31"/>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Income from unconsolidated operations decreased $17.2 million for the three months ended May 31, 2026 compared to the same period of 2025. This decrease was primarily driven by the acquisition of an additional 25% ownership interest in McCormick de Mexico which resulted in the consolidation of McCormick de Mexico's financial results, which is described in more detail in Note 2 of the notes to our accompanying condensed consolidated financial statements.</w:t>
      </w:r>
    </w:p>
    <w:p>
      <w:pPr>
        <w:spacing w:after="0" w:line="12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Income from unconsolidated operations increased by $850.3 million for the six months ended May 31, 2026 compared to the same period of 2025. This increase was primarily driven by a gain of $866.8 million on the remeasurement of our previously held equity interest in McCormick de Mexico, which is described in more detail in Note 2 of the notes to our accompanying condensed consolidated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64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color w:val="auto"/>
              </w:rPr>
              <w:t>Three months ended May 31,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3"/>
        </w:trPr>
        <w:tc>
          <w:tcPr>
            <w:tcW w:w="4980" w:type="dxa"/>
            <w:vAlign w:val="bottom"/>
          </w:tcPr>
          <w:p>
            <w:pPr>
              <w:spacing w:after="0"/>
              <w:rPr>
                <w:sz w:val="17"/>
                <w:szCs w:val="17"/>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2026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4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by $9.1 million for the three months ended May 31, 2026 and $14.1 million for the six months ended May 31, 2026 compared to the same periods in 2025. This increase was driven by the net income attributable to our noncontrolling interest in McCormick de Mexico upon its consolidation in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major components of the change in diluted earnings per share from 2025 to 2026:</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240" w:type="dxa"/>
            <w:vAlign w:val="bottom"/>
          </w:tcPr>
          <w:p>
            <w:pPr>
              <w:spacing w:after="0"/>
              <w:rPr>
                <w:sz w:val="16"/>
                <w:szCs w:val="16"/>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3"/>
        </w:trPr>
        <w:tc>
          <w:tcPr>
            <w:tcW w:w="6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Earnings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center"/>
              <w:ind w:left="1552"/>
              <w:spacing w:after="0"/>
              <w:rPr>
                <w:sz w:val="20"/>
                <w:szCs w:val="20"/>
                <w:color w:val="auto"/>
              </w:rPr>
            </w:pPr>
            <w:r>
              <w:rPr>
                <w:rFonts w:ascii="Times New Roman" w:cs="Times New Roman" w:eastAsia="Times New Roman" w:hAnsi="Times New Roman"/>
                <w:sz w:val="18"/>
                <w:szCs w:val="18"/>
                <w:color w:val="auto"/>
                <w:w w:val="95"/>
              </w:rPr>
              <w:t>1.25</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change in operating income</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5"/>
              </w:rPr>
              <w:t>0.34</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special charges</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1532"/>
              <w:spacing w:after="0"/>
              <w:rPr>
                <w:sz w:val="20"/>
                <w:szCs w:val="20"/>
                <w:color w:val="auto"/>
              </w:rPr>
            </w:pPr>
            <w:r>
              <w:rPr>
                <w:rFonts w:ascii="Times New Roman" w:cs="Times New Roman" w:eastAsia="Times New Roman" w:hAnsi="Times New Roman"/>
                <w:sz w:val="18"/>
                <w:szCs w:val="18"/>
                <w:color w:val="auto"/>
              </w:rPr>
              <w:t>(0.32)</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interest expense</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other income, net</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1532"/>
              <w:spacing w:after="0"/>
              <w:rPr>
                <w:sz w:val="20"/>
                <w:szCs w:val="20"/>
                <w:color w:val="auto"/>
              </w:rPr>
            </w:pPr>
            <w:r>
              <w:rPr>
                <w:rFonts w:ascii="Times New Roman" w:cs="Times New Roman" w:eastAsia="Times New Roman" w:hAnsi="Times New Roman"/>
                <w:sz w:val="18"/>
                <w:szCs w:val="18"/>
                <w:color w:val="auto"/>
              </w:rPr>
              <w:t>(0.02)</w:t>
            </w:r>
          </w:p>
        </w:tc>
      </w:tr>
      <w:tr>
        <w:trPr>
          <w:trHeight w:val="184"/>
        </w:trPr>
        <w:tc>
          <w:tcPr>
            <w:tcW w:w="6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After tax gain on remeasurement of a previously held equity interest in McCormick de</w:t>
            </w: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20" w:type="dxa"/>
            <w:vAlign w:val="bottom"/>
          </w:tcPr>
          <w:p>
            <w:pPr>
              <w:spacing w:after="0"/>
              <w:rPr>
                <w:sz w:val="20"/>
                <w:szCs w:val="20"/>
                <w:color w:val="auto"/>
              </w:rPr>
            </w:pPr>
          </w:p>
        </w:tc>
        <w:tc>
          <w:tcPr>
            <w:tcW w:w="2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100" w:type="dxa"/>
            <w:vAlign w:val="bottom"/>
          </w:tcPr>
          <w:p>
            <w:pPr>
              <w:jc w:val="center"/>
              <w:ind w:left="1552"/>
              <w:spacing w:after="0"/>
              <w:rPr>
                <w:sz w:val="20"/>
                <w:szCs w:val="20"/>
                <w:color w:val="auto"/>
              </w:rPr>
            </w:pPr>
            <w:r>
              <w:rPr>
                <w:rFonts w:ascii="Times New Roman" w:cs="Times New Roman" w:eastAsia="Times New Roman" w:hAnsi="Times New Roman"/>
                <w:sz w:val="18"/>
                <w:szCs w:val="18"/>
                <w:color w:val="auto"/>
                <w:w w:val="95"/>
              </w:rPr>
              <w:t>3.22</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change in effective income tax rate, excluding taxes on special charges</w:t>
            </w:r>
          </w:p>
        </w:tc>
        <w:tc>
          <w:tcPr>
            <w:tcW w:w="2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1532"/>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net income attributable to noncontrolling interest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center"/>
              <w:ind w:left="1532"/>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unconsolidated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center"/>
              <w:ind w:left="1532"/>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Earnings per share – diluted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center"/>
              <w:ind w:left="1552"/>
              <w:spacing w:after="0"/>
              <w:rPr>
                <w:sz w:val="20"/>
                <w:szCs w:val="20"/>
                <w:color w:val="auto"/>
              </w:rPr>
            </w:pPr>
            <w:r>
              <w:rPr>
                <w:rFonts w:ascii="Times New Roman" w:cs="Times New Roman" w:eastAsia="Times New Roman" w:hAnsi="Times New Roman"/>
                <w:sz w:val="18"/>
                <w:szCs w:val="18"/>
                <w:color w:val="auto"/>
                <w:w w:val="95"/>
              </w:rPr>
              <w:t>4.33</w:t>
            </w:r>
          </w:p>
        </w:tc>
      </w:tr>
      <w:tr>
        <w:trPr>
          <w:trHeight w:val="21"/>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 SEGMENTS</w:t>
      </w:r>
    </w:p>
    <w:p>
      <w:pPr>
        <w:spacing w:after="0" w:line="17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measure the performance of our business segments based on operating income, excluding special charges for the periods presented. See Note 11 of the notes to our accompanying condensed consolidated financial statements for additional information on our segment measures as well as for a reconciliation by segment of operating income, excluding special charges, to consolidated operating income. In the following discussion, we refer to our previously described measure of segment profit as segment operating income.</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ind w:left="42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60" w:type="dxa"/>
            <w:vAlign w:val="bottom"/>
          </w:tcPr>
          <w:p>
            <w:pPr>
              <w:spacing w:after="0"/>
              <w:rPr>
                <w:sz w:val="16"/>
                <w:szCs w:val="16"/>
                <w:color w:val="auto"/>
              </w:rPr>
            </w:pPr>
          </w:p>
        </w:tc>
        <w:tc>
          <w:tcPr>
            <w:tcW w:w="2900" w:type="dxa"/>
            <w:vAlign w:val="bottom"/>
            <w:gridSpan w:val="4"/>
          </w:tcPr>
          <w:p>
            <w:pPr>
              <w:jc w:val="right"/>
              <w:ind w:right="774"/>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02"/>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930.6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1,849.8</w:t>
            </w:r>
          </w:p>
        </w:tc>
      </w:tr>
      <w:tr>
        <w:trPr>
          <w:trHeight w:val="229"/>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 increase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310.3</w:t>
            </w:r>
          </w:p>
        </w:tc>
      </w:tr>
      <w:tr>
        <w:trPr>
          <w:trHeight w:val="234"/>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859"/>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2" w:name="page33"/>
    <w:bookmarkEnd w:id="32"/>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the second quarter of 2026, sales of our Consumer segment increased by 22.8% compared to the second quarter of 2025 and increased by 0.8% on an organic basis. The acquisition of McCormick de Mexico increased sales by 19.6%. Unfavorable volume and product mix decreased sales by 1.9%, driven by declines in the Americas region which were partially offset by growth in the EMEA and APAC regions. Favorable pricing impacted sales by 2.7% primarily driven by the Americas region. The favorable impact of foreign currency rates increased sales by 2.4%.</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Americas region, Consumer segment sales increased by 28.0% in the second quarter of 2026 compared to the same quarter of 2025 and decreased by 0.2% on an organic basis. The acquisition of McCormick de Mexico increased sales by 27.9%. Unfavorable volume and product mix decreased sales by</w:t>
      </w:r>
    </w:p>
    <w:p>
      <w:pPr>
        <w:ind w:right="100"/>
        <w:spacing w:after="0" w:line="243" w:lineRule="auto"/>
        <w:rPr>
          <w:sz w:val="20"/>
          <w:szCs w:val="20"/>
          <w:color w:val="auto"/>
        </w:rPr>
      </w:pPr>
      <w:r>
        <w:rPr>
          <w:rFonts w:ascii="Times New Roman" w:cs="Times New Roman" w:eastAsia="Times New Roman" w:hAnsi="Times New Roman"/>
          <w:sz w:val="18"/>
          <w:szCs w:val="18"/>
          <w:color w:val="auto"/>
        </w:rPr>
        <w:t>3.6%, which included the unfavorable impact of price elasticity. Favorable pricing impacted sales by 3.4%. The favorable impact of foreign currency rates increased sales by 0.3%.</w:t>
      </w:r>
    </w:p>
    <w:p>
      <w:pPr>
        <w:spacing w:after="0" w:line="14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 the EMEA region, Consumer segment sales increased by 10.7% in the second quarter of 2026 compared to the same quarter of 2025 and increased by 3.3% on an organic basis. Favorable volume and product mix increased sales by 1.9%, driven by higher sales in France and the UK. Favorable pricing impacted sales by 1.4%. The favorable impact from foreign currency rates increased sales by 7.4%.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APAC region, Consumer segment sales increased by 10.0% in the second quarter of 2026 compared to the same quarter of 2025 and increased by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on an organic basis. Favorable volume and product mix increased sales by 2.4%, driven by higher sales in China. Favorable pricing impacted sales by</w:t>
      </w:r>
    </w:p>
    <w:p>
      <w:pPr>
        <w:spacing w:after="0"/>
        <w:rPr>
          <w:sz w:val="20"/>
          <w:szCs w:val="20"/>
          <w:color w:val="auto"/>
        </w:rPr>
      </w:pPr>
      <w:r>
        <w:rPr>
          <w:rFonts w:ascii="Times New Roman" w:cs="Times New Roman" w:eastAsia="Times New Roman" w:hAnsi="Times New Roman"/>
          <w:sz w:val="18"/>
          <w:szCs w:val="18"/>
          <w:color w:val="auto"/>
        </w:rPr>
        <w:t>0.5%. The favorable impact from foreign currency rates increased sales by 7.1%.</w:t>
      </w:r>
    </w:p>
    <w:p>
      <w:pPr>
        <w:spacing w:after="0" w:line="15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For the six months ended May 31, 2026, sales of our Consumer segment increased 23.7% as compared to the same period in 2025 and increased by 1.3% on an organic basis. The acquisition of McCormick de Mexico increased sales by 19.7%. Unfavorable volume and product mix decreased sales by 1.2% driven by declines in the Americas region which were partially offset by growth in the EMEA and APAC regions. Favorable pricing impacted sales by 2.5% driven by the Americas region. The favorable impact from foreign currency rates increased sales by 2.7% .</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Segment operating income for our Consumer segment for the second quarter of 2026 increased by $53.3 million, or 32.6%, as compared to the same period of 2025 driven by an increase in gross profit, partially offset by an increase in SG&amp;A expense. The increase in gross profit was driven by the impacts of our acquisition of McCormick de Mexico, favorable pricing, the IEEPA tariff refund, and CCI-led cost savings, partially offset by increased commodity costs and higher freight costs due to the conflict in the Middle East. The increase in SG&amp;A expense was driven by the items described in the consolidated discussion. Segment operating margin increased by 140 basis points to 19.0%. On a constant currency basis, segment operating income increased by 30.7%.</w:t>
      </w:r>
    </w:p>
    <w:p>
      <w:pPr>
        <w:spacing w:after="0" w:line="1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Segment operating income for our Consumer segment for the six months ended May 31, 2026 increased by $86.2 million, or 27.8%, as compared to the same period in 2025, driven by the effects of an increase in gross profit partially offset by an increase in SG&amp;A expense. The increase in gross profit was driven by the impacts of our acquisition of McCormick de Mexico, the IEEPA tariff refund, favorable pricing, and CCI-led cost savings, partially offset by increased commodity costs and higher freight costs due to the conflict in the Middle East. Segment operating margin increased by 50 basis points to 17.3%. On a constant currency basis, segment operating income increased by 25.9%.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FLAVOR SOLUTIONS SEGMENT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26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color w:val="auto"/>
              </w:rPr>
              <w:t>Three months ended May 31,</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color w:val="auto"/>
              </w:rPr>
              <w:t>Six months ended May 31,</w:t>
            </w:r>
          </w:p>
        </w:tc>
      </w:tr>
      <w:tr>
        <w:trPr>
          <w:trHeight w:val="230"/>
        </w:trPr>
        <w:tc>
          <w:tcPr>
            <w:tcW w:w="4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color w:val="auto"/>
              </w:rPr>
              <w:t>2025</w:t>
            </w:r>
          </w:p>
        </w:tc>
      </w:tr>
      <w:tr>
        <w:trPr>
          <w:trHeight w:val="23"/>
        </w:trPr>
        <w:tc>
          <w:tcPr>
            <w:tcW w:w="4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793.9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728.9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1,522.8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1,415.2</w:t>
            </w:r>
          </w:p>
        </w:tc>
      </w:tr>
      <w:tr>
        <w:trPr>
          <w:trHeight w:val="230"/>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 increase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119.5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173.5</w:t>
            </w: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bl>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the second quarter of 2026, sales of our Flavor Solutions segment increased by 8.9% as compared to the second quarter of 2025 and increased by 2.9% on an organic basis. The acquisition of McCormick de Mexico increased sales by 3.0%. Favorable volume and product mix increased sales by 1.4% driven by the Americas and APAC regions, partially offset by lower sales in the EMEA region. Favorable pricing increased sales by 1.5% driven by the Americas and EMEA regions. The favorable impact of foreign currency rates increased sales by 3.0%.</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3" w:name="page34"/>
    <w:bookmarkEnd w:id="33"/>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the Americas region, Flavor Solutions sales increased by 10.0% in the second quarter of 2026 compared to the second quarter of 2025 and increased by 3.9% on an organic basis. The acquisition of McCormick de Mexico increased sales by 4.2%. Favorable volume and product mix increased sales by 2.1% driven by the effect of higher sales to packaged food customers. Favorable pricing impacted sales by 1.8%. The favorable impact from foreign currency rates increased sales by 1.9%.</w:t>
      </w:r>
    </w:p>
    <w:p>
      <w:pPr>
        <w:spacing w:after="0" w:line="123"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In the EMEA region, Flavor Solutions sales increased by 5.4% in the second quarter of 2026 compared to the second quarter of 2025 and increased by 0.4% on an organic basis. Unfavorable volume and product mix decreased sales by 1.2% driven by the effect of lower sales to quick-service restaurant customers. Favorable pricing impacted sales by 1.6%. The favorable impact from foreign currency rates increased sales by 5.0%.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APAC region, Flavor Solutions sales increased by 7.5% in the second quarter of 2026 compared to the second quarter of 2025, and increased by</w:t>
      </w:r>
    </w:p>
    <w:p>
      <w:pPr>
        <w:spacing w:after="0" w:line="2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0.2% on an organic basis. Favorable volume and product mix increased sales by 0.8%, primarily driven by growth in China. Pricing unfavorably impacted sales by 0.6%. The favorable impact from foreign currency rates increased sales by 7.3%.</w:t>
      </w:r>
    </w:p>
    <w:p>
      <w:pPr>
        <w:spacing w:after="0" w:line="12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For the six months ended May 31, 2026, sales of our Flavor Solutions segment increased 7.6% as compared to the same period in 2025 and increased by 1.7% on an organic basis. The acquisition of McCormick de Mexico increased sales by 2.7%. Favorable volume and product mix increased sales by 0.2% driven primarily by growth in the APAC region partially offset by lower sales in the EMEA region. Favorable pricing increased sales by 1.5%, driven by the Americas and EMEA regions partially offset by unfavorable pricing in the APAC region. The favorable impact of foreign currency rates increased segment sales by 3.2%.</w:t>
      </w:r>
    </w:p>
    <w:p>
      <w:pPr>
        <w:spacing w:after="0" w:line="12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Segment operating income for our Flavor Solutions segment for the second quarter of 2026 increased by $24.5 million, or 25.8%, compared to the same period of 2025 driven by an increase in gross profit partially offset by an increase in SG&amp;A expense. The increase in gross profit was driven by favorable pricing, the impact of our acquisition of McCormick de Mexico, and CCI-led cost savings. The increase in SG&amp;A expense was driven by the impact of the McCormick de Mexico acquisition and increased investments in technology. Segment operating margin increased by 210 basis points to 15.1%. On a constant currency basis, segment operating income increased by 21.4%.</w:t>
      </w:r>
    </w:p>
    <w:p>
      <w:pPr>
        <w:spacing w:after="0" w:line="14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Segment operating income for our Flavor Solutions segment for the six months ended May 31, 2026 increased by $34.0 million, or 19.6%, compared to the same period in 2025, driven by the effects of an increase in gross profit partially offset by an increase in SG&amp;A expense. The increase in gross profit was driven by favorable pricing, the impact of our acquisition of McCormick de Mexico, and CCI-led cost savings. The increase in SG&amp;A expense was driven by the impact of the McCormick de Mexico acquisition and increased investments in technology. Segment operating margin increased by 130 basis points to 13.6%. On a constant currency basis, segment operating income increased by 15.1%.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RISK SENSITIVITY</w:t>
      </w:r>
    </w:p>
    <w:p>
      <w:pPr>
        <w:spacing w:after="0" w:line="17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utilize derivative financial instruments to enhance our ability to manage risk, including foreign exchange, interest rate, and commodity exposures, which exist as part of our ongoing business operations. We do not enter into contracts for trading purposes, nor are we a party to any leveraged derivative instrument. The use of derivative financial instruments is monitored through regular communication with senior management and the utilization of written guidelines.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Risk</w:t>
      </w:r>
    </w:p>
    <w:p>
      <w:pPr>
        <w:spacing w:after="0" w:line="1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exposed to foreign currency risk affecting net investments in subsidiaries, transactions (both third-party and intercompany) and earnings denominated in foreign currencies. Management assesses foreign currency risk based on transactional cash flows and translational volatility and may enter into forward contract and currency swaps with highly-rated financial institutions to reduce fluctuations in the long or short currency positions. All derivatives are designated as hedges.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4" w:name="page35"/>
    <w:bookmarkEnd w:id="34"/>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notional values and unrealized net gains (losses) of the portfolio of our forward foreign currency and cross currency swap contracts: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31, 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November 30, 2025</w:t>
            </w:r>
          </w:p>
        </w:tc>
      </w:tr>
      <w:tr>
        <w:trPr>
          <w:trHeight w:val="23"/>
        </w:trPr>
        <w:tc>
          <w:tcPr>
            <w:tcW w:w="6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w:t>
            </w: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9"/>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Notional value</w:t>
            </w:r>
          </w:p>
        </w:tc>
        <w:tc>
          <w:tcPr>
            <w:tcW w:w="1480" w:type="dxa"/>
            <w:vAlign w:val="bottom"/>
          </w:tcPr>
          <w:p>
            <w:pPr>
              <w:jc w:val="right"/>
              <w:ind w:right="12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w:t>
            </w:r>
          </w:p>
        </w:tc>
      </w:tr>
      <w:tr>
        <w:trPr>
          <w:trHeight w:val="22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net (loss) gain</w:t>
            </w:r>
          </w:p>
        </w:tc>
        <w:tc>
          <w:tcPr>
            <w:tcW w:w="1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6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Notional value</w:t>
            </w:r>
          </w:p>
        </w:tc>
        <w:tc>
          <w:tcPr>
            <w:tcW w:w="14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r>
      <w:tr>
        <w:trPr>
          <w:trHeight w:val="234"/>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Unrealized net loss</w:t>
            </w:r>
          </w:p>
        </w:tc>
        <w:tc>
          <w:tcPr>
            <w:tcW w:w="1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22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outstanding notional value is a result of our decisions on foreign currency exposure coverage, based on our foreign currency and foreign currency translation exposures.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Rate Risk</w:t>
      </w:r>
    </w:p>
    <w:p>
      <w:pPr>
        <w:spacing w:after="0" w:line="160"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We manage our interest rate exposure by entering into both fixed and variable rate debt arrangements. We use interest rate swaps to minimize worldwide financing costs and to achieve a desired mix of fixed and variable rate debt. We do not enter into contracts for trading purposes, nor are we a party to any leveraged derivative instruments, and all derivatives are designated as hedges.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notional values and unrealized net gains (losses) of our interest rate swap contracts: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31, 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November 30, 2025</w:t>
            </w:r>
          </w:p>
        </w:tc>
      </w:tr>
      <w:tr>
        <w:trPr>
          <w:trHeight w:val="23"/>
        </w:trPr>
        <w:tc>
          <w:tcPr>
            <w:tcW w:w="6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value</w:t>
            </w:r>
          </w:p>
        </w:tc>
        <w:tc>
          <w:tcPr>
            <w:tcW w:w="154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net (loss) gain</w:t>
            </w:r>
          </w:p>
        </w:tc>
        <w:tc>
          <w:tcPr>
            <w:tcW w:w="154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2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change in fair values of our interest rate swap contracts is due to changes in interest rates on the notional amounts outstanding as of each date as well as the remaining duration of our interest rate derivative contracts.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Commodity Risk</w:t>
      </w:r>
    </w:p>
    <w:p>
      <w:pPr>
        <w:spacing w:after="0" w:line="16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We purchase certain raw materials which are subject to price volatility caused by weather, market conditions, growing and harvesting conditions, governmental actions, and other factors beyond our control. Our most significant raw materials are dairy products, pepper, onion, garlic, capsicums (red peppers and paprika), salt, tomato products, sugar, and soybean oil. While future movements of raw material costs are uncertain, we respond to this volatility in a number of ways, including strategic raw material purchases, purchases of raw material for future delivery, customer price adjustments, and the use of derivative instruments. Our use of commodity derivatives is currently limited to swaps, futures, and options to reduce our exposure to the price volatility of soybean oil.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notional values and unrealized net gains (losses) of our commodity contracts: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31, 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November 30, 2025</w:t>
            </w:r>
          </w:p>
        </w:tc>
      </w:tr>
      <w:tr>
        <w:trPr>
          <w:trHeight w:val="23"/>
        </w:trPr>
        <w:tc>
          <w:tcPr>
            <w:tcW w:w="6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value</w:t>
            </w:r>
          </w:p>
        </w:tc>
        <w:tc>
          <w:tcPr>
            <w:tcW w:w="154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net gain</w:t>
            </w:r>
          </w:p>
        </w:tc>
        <w:tc>
          <w:tcPr>
            <w:tcW w:w="1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1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The customers of our Consumer segment are predominantly food retailers and food wholesalers. Consolidations in these industries have created larger customers. In addition, competition has increased with the growth in alternative channels including mass merchandisers, dollar stores, warehouse clubs, discount chains, and e-commerce. This has caused some customers to be less profitable and increased our exposure to credit risk. Some of our customers and counterparties are highly leveraged. We continue to closely monitor the credit worthiness of our customers and counterparties. We believe that our allowance for credit losses properly recognizes trade receivables at realizable value. We consider nonperformance credit risk for other financial instruments to be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w:t>
      </w:r>
    </w:p>
    <w:p>
      <w:pPr>
        <w:spacing w:after="0" w:line="17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 following tables include financial measures of organic net sales, adjusted gross profit, adjusted gross profit margin, adjusted operating income, adjusted operating income margin, adjusted income tax expense, adjusted income tax rate, adjusted net income, and adjusted diluted earnings per share. These represent non-GAAP financial measures which are prepared as a complement to our financial results prepared in accordance with United States generally accepted accounting principles. These financial measures exclude the impact, as applicable, of the following:</w:t>
      </w:r>
    </w:p>
    <w:p>
      <w:pPr>
        <w:spacing w:after="0" w:line="123" w:lineRule="exact"/>
        <w:rPr>
          <w:sz w:val="20"/>
          <w:szCs w:val="20"/>
          <w:color w:val="auto"/>
        </w:rPr>
      </w:pPr>
    </w:p>
    <w:p>
      <w:pPr>
        <w:ind w:left="660" w:right="40" w:hanging="328"/>
        <w:spacing w:after="0" w:line="24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charges - Special charges consist of expenses and income associated with certain actions undertaken by us to reduce fixed costs, simplify or improve processes, and improve our competitiveness and are of such significance in terms of both up-front costs and organizational/structural impact to require advance approval by our Management Committee. Expenses associated with the approved actions are classified as special charges upon recognition and monitored on an ongoing basis through completion. Included in special charges are transaction and integration costs incurred in conjunction with acquisitions.</w:t>
      </w:r>
    </w:p>
    <w:p>
      <w:pPr>
        <w:spacing w:after="0" w:line="140" w:lineRule="exact"/>
        <w:rPr>
          <w:rFonts w:ascii="Times New Roman" w:cs="Times New Roman" w:eastAsia="Times New Roman" w:hAnsi="Times New Roman"/>
          <w:sz w:val="18"/>
          <w:szCs w:val="18"/>
          <w:color w:val="auto"/>
        </w:rPr>
      </w:pPr>
    </w:p>
    <w:p>
      <w:pPr>
        <w:ind w:left="660" w:hanging="328"/>
        <w:spacing w:after="0" w:line="24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remeasurement of previously held equity interest - On January 2, 2026, we completed the acquisition of an additional 25% ownership interest in McCormick de Mexico which increased our ownership to a 75% controlling interest. Prior to the acquisition of the additional ownership interest, we accounted for our 50% ownership interest as an equity method investment. The acquisition of the additional ownership interest resulted in the consolidation of McCormick de Mexico's financial results. As a result of the consolidation, the carrying value of our previously held 50% ownership interest was remeasured to fair value resulting in a gain.</w:t>
      </w:r>
    </w:p>
    <w:p>
      <w:pPr>
        <w:spacing w:after="0" w:line="127"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Details with respect to the composition of special charges, including transaction and integration expenses, set forth below are included in Note 3 of the notes to our accompanying condensed consolidated financial statements. Details with respect to our gain on the revaluation of a previously held equity interest in McCormick de Mexico are included in Note 2 of the notes to our accompanying condensed consolidated financial statements.</w:t>
      </w:r>
    </w:p>
    <w:p>
      <w:pPr>
        <w:spacing w:after="0" w:line="11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Details with respect to the composition of special charges, including transaction and integration expenses, for the year ended November 30, 2025 are included in Note 2 of the notes to the consolidated financial statements included in our Annual Report on Form 10-K for the year ended November 30, 2025.</w:t>
      </w:r>
    </w:p>
    <w:p>
      <w:pPr>
        <w:spacing w:after="0" w:line="1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that these non-GAAP financial measures are important. The exclusion of the items noted above provides additional information that enables enhanced comparisons to prior periods and, accordingly, facilitates the development of future projections and earnings growth prospects. This information is also used by management to measure the profitability of our ongoing operations and analyze our business performance and trends.</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These non-GAAP financial measures may be considered in addition to results prepared in accordance with GAAP; however, they should not be viewed as a substitute for, or superior to, GAAP results. Furthermore, these non-GAAP financial measures may not be comparable to similarly titled measures of other companies, as they may calculate them differently than we do. We intend to continue providing these non-GAAP financial measures as part of our future earnings discussions, ensuring consistency in our financial reporting.</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these non-GAAP financial measures to the related GAAP financial measures follows: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6" w:name="page37"/>
    <w:bookmarkEnd w:id="36"/>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Three months ended May 31,</w:t>
            </w:r>
          </w:p>
        </w:tc>
        <w:tc>
          <w:tcPr>
            <w:tcW w:w="300" w:type="dxa"/>
            <w:vAlign w:val="bottom"/>
          </w:tcPr>
          <w:p>
            <w:pPr>
              <w:spacing w:after="0"/>
              <w:rPr>
                <w:sz w:val="16"/>
                <w:szCs w:val="16"/>
                <w:color w:val="auto"/>
              </w:rPr>
            </w:pPr>
          </w:p>
        </w:tc>
        <w:tc>
          <w:tcPr>
            <w:tcW w:w="240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color w:val="auto"/>
              </w:rPr>
              <w:t>Six months ended May 31,</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For the year ended</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3"/>
        </w:trPr>
        <w:tc>
          <w:tcPr>
            <w:tcW w:w="438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November 30, 2025</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1,487.1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1,226.8</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Special charges included in cost of goods sold</w:t>
            </w:r>
          </w:p>
        </w:tc>
        <w:tc>
          <w:tcPr>
            <w:tcW w:w="12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2,594.3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1,226.8</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r>
              <w:rPr>
                <w:rFonts w:ascii="Times New Roman" w:cs="Times New Roman" w:eastAsia="Times New Roman" w:hAnsi="Times New Roman"/>
                <w:sz w:val="10"/>
                <w:szCs w:val="10"/>
                <w:color w:val="auto"/>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Special charges</w:t>
            </w: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 margin</w:t>
            </w:r>
            <w:r>
              <w:rPr>
                <w:rFonts w:ascii="Times New Roman" w:cs="Times New Roman" w:eastAsia="Times New Roman" w:hAnsi="Times New Roman"/>
                <w:sz w:val="10"/>
                <w:szCs w:val="10"/>
                <w:color w:val="auto"/>
              </w:rPr>
              <w:t>(1)</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503.9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Special charges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r>
              <w:rPr>
                <w:rFonts w:ascii="Times New Roman" w:cs="Times New Roman" w:eastAsia="Times New Roman" w:hAnsi="Times New Roman"/>
                <w:sz w:val="10"/>
                <w:szCs w:val="10"/>
                <w:color w:val="auto"/>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Special charges</w:t>
            </w:r>
            <w:r>
              <w:rPr>
                <w:rFonts w:ascii="Times New Roman" w:cs="Times New Roman" w:eastAsia="Times New Roman" w:hAnsi="Times New Roman"/>
                <w:sz w:val="10"/>
                <w:szCs w:val="10"/>
                <w:color w:val="auto"/>
              </w:rPr>
              <w:t>(2)</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r>
              <w:rPr>
                <w:rFonts w:ascii="Times New Roman" w:cs="Times New Roman" w:eastAsia="Times New Roman" w:hAnsi="Times New Roman"/>
                <w:sz w:val="10"/>
                <w:szCs w:val="10"/>
                <w:color w:val="auto"/>
              </w:rPr>
              <w:t>(2)</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Special charges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tax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rate</w:t>
            </w:r>
            <w:r>
              <w:rPr>
                <w:rFonts w:ascii="Times New Roman" w:cs="Times New Roman" w:eastAsia="Times New Roman" w:hAnsi="Times New Roman"/>
                <w:sz w:val="10"/>
                <w:szCs w:val="10"/>
                <w:color w:val="auto"/>
              </w:rPr>
              <w:t>(3)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Special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tax rate</w:t>
            </w:r>
            <w:r>
              <w:rPr>
                <w:rFonts w:ascii="Times New Roman" w:cs="Times New Roman" w:eastAsia="Times New Roman" w:hAnsi="Times New Roman"/>
                <w:sz w:val="10"/>
                <w:szCs w:val="10"/>
                <w:color w:val="auto"/>
              </w:rPr>
              <w:t>(3)</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McCormick &amp; Company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of Special charges, net of non-controlling interest</w:t>
            </w:r>
            <w:r>
              <w:rPr>
                <w:rFonts w:ascii="Times New Roman" w:cs="Times New Roman" w:eastAsia="Times New Roman" w:hAnsi="Times New Roman"/>
                <w:sz w:val="10"/>
                <w:szCs w:val="10"/>
                <w:color w:val="auto"/>
              </w:rPr>
              <w:t>(4)</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54"/>
        </w:trPr>
        <w:tc>
          <w:tcPr>
            <w:tcW w:w="4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1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previously held equity interest</w:t>
            </w:r>
          </w:p>
        </w:tc>
        <w:tc>
          <w:tcPr>
            <w:tcW w:w="1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Special charges</w:t>
            </w:r>
          </w:p>
        </w:tc>
        <w:tc>
          <w:tcPr>
            <w:tcW w:w="12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remeasurement of previously held equity interest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 – 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440" w:right="20" w:hanging="324"/>
        <w:spacing w:after="0" w:line="258" w:lineRule="auto"/>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Gross profit margin, impact of special charges, and adjusted gross profit margin are calculated as gross profit, impact of special charges, and adjusted gross profit as a percentage of net sales for each period presented. The impact of special charges included in cost of goods sold represents the step-up of acquired inventory recognized in cost of goods sold as the related inventory was sold.</w:t>
      </w:r>
    </w:p>
    <w:p>
      <w:pPr>
        <w:spacing w:after="0" w:line="115" w:lineRule="exact"/>
        <w:rPr>
          <w:rFonts w:ascii="Times New Roman" w:cs="Times New Roman" w:eastAsia="Times New Roman" w:hAnsi="Times New Roman"/>
          <w:sz w:val="16"/>
          <w:szCs w:val="16"/>
          <w:color w:val="auto"/>
        </w:rPr>
      </w:pPr>
    </w:p>
    <w:p>
      <w:pPr>
        <w:ind w:left="440" w:right="320" w:hanging="324"/>
        <w:spacing w:after="0" w:line="266" w:lineRule="auto"/>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Operating income margin, impact of special charges, and adjusted operating income margin are calculated as operating income, impact of special charges, and adjusted operating income as a percentage of net sales for each period presented.</w:t>
      </w:r>
    </w:p>
    <w:p>
      <w:pPr>
        <w:spacing w:after="0" w:line="121" w:lineRule="exact"/>
        <w:rPr>
          <w:rFonts w:ascii="Times New Roman" w:cs="Times New Roman" w:eastAsia="Times New Roman" w:hAnsi="Times New Roman"/>
          <w:sz w:val="16"/>
          <w:szCs w:val="16"/>
          <w:color w:val="auto"/>
        </w:rPr>
      </w:pPr>
    </w:p>
    <w:p>
      <w:pPr>
        <w:ind w:left="440" w:right="140" w:hanging="324"/>
        <w:spacing w:after="0" w:line="247" w:lineRule="auto"/>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Income tax rate is calculated as income tax expense as a percentage of income from consolidated operations before income taxes. Adjusted income tax rate is calculated as adjusted income tax expense as a percentage of income from consolidated operations before income taxes excluding special charges of $287.0 million and $217.4 million for the three months ended May 31, 2026 and 2025, respectively, and $512.1 million and $403.9 million for the six months ended May 31, 2026 and 2025, respectively. Adjusted income tax rate is calculated as adjusted income tax expense as a percentage of income from consolidated operations before income taxes excluding special charges of $936.2 million for the year ended November 30, 2025.</w:t>
      </w:r>
    </w:p>
    <w:p>
      <w:pPr>
        <w:spacing w:after="0" w:line="125" w:lineRule="exact"/>
        <w:rPr>
          <w:rFonts w:ascii="Times New Roman" w:cs="Times New Roman" w:eastAsia="Times New Roman" w:hAnsi="Times New Roman"/>
          <w:sz w:val="16"/>
          <w:szCs w:val="16"/>
          <w:color w:val="auto"/>
        </w:rPr>
      </w:pPr>
    </w:p>
    <w:p>
      <w:pPr>
        <w:ind w:left="440" w:right="280" w:hanging="324"/>
        <w:spacing w:after="0" w:line="266" w:lineRule="auto"/>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impact of special charges, net of noncontrolling interests, for six months ended May 31, 2026 includes a $2.6 million non-controlling interest effect associated with the step-up of acquired inventory recognized in cost of goods sold as the related inventory was sold.</w:t>
      </w:r>
    </w:p>
    <w:p>
      <w:pPr>
        <w:spacing w:after="0" w:line="121" w:lineRule="exact"/>
        <w:rPr>
          <w:rFonts w:ascii="Times New Roman" w:cs="Times New Roman" w:eastAsia="Times New Roman" w:hAnsi="Times New Roman"/>
          <w:sz w:val="16"/>
          <w:szCs w:val="16"/>
          <w:color w:val="auto"/>
        </w:rPr>
      </w:pPr>
    </w:p>
    <w:p>
      <w:pPr>
        <w:ind w:left="440" w:right="300" w:hanging="324"/>
        <w:spacing w:after="0" w:line="266" w:lineRule="auto"/>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impact of special charges, net of noncontrolling interests, for three and six months ended May 31, 2026 includes a net income impact of $5.2 million related to transaction expenses included in interest expense.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Because we are a multi-national company, we are subject to variability of our reported U.S. dollar results due to changes in foreign currency exchange rates. Those changes can be volatile. The exclusion of the effects of foreign currency exchange, or what we refer to as amounts expressed “on a constant currency basis,” is a non-GAAP measure. We believe that this non-GAAP measure provides additional information that enables enhanced comparison to prior periods excluding the translation effects of changes in rates of foreign currency exchange and provides additional insight into the underlying performance of our operations located outside of the U.S. It should be noted that our presentation herein of amounts and percentage changes on a constant currency basis does not exclude the impact of foreign currency transaction gains and losses (that is, the impact of transactions denominated in other than the local currency of any of our subsidiaries in their local currency reported results).</w:t>
      </w:r>
    </w:p>
    <w:p>
      <w:pPr>
        <w:spacing w:after="0" w:line="1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provide organic net sales growth rates for our consolidated net sales and segment net sales. We believe that organic net sales growth rates provide useful information to investors because they provide transparency to underlying performance in our net sales by excluding the effect that foreign currency exchange rate fluctuations, acquisitions, and divestitures, as applicable, have on year-to-year comparability. A reconciliation of these measures from reported net sales growth rates, the relevant GAAP measures, are included in the tables set forth below.</w:t>
      </w:r>
    </w:p>
    <w:p>
      <w:pPr>
        <w:spacing w:after="0" w:line="12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Percentage changes in sales and adjusted operating income expressed on a constant currency basis are presented excluding the impact of foreign currency exchange. To present this information for historical periods, current period results for entities reporting in currencies other than the U.S. dollar are translated into U.S. dollars at the average exchange rates in effect during the corresponding period of the comparative year, rather than at the actual average exchange rates in effect during the current fiscal year. As a result, the foreign currency impact is equal to the current year results in local currencies multiplied by the change in the average foreign currency exchange rate between the current fiscal period and the corresponding period of the comparative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Rates of constant currency and organic growth (decline) follow:</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8" w:name="page39"/>
    <w:bookmarkEnd w:id="38"/>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Three months ended May 31, 2026</w:t>
            </w:r>
          </w:p>
        </w:tc>
        <w:tc>
          <w:tcPr>
            <w:tcW w:w="1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7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Percentage change as</w:t>
            </w:r>
          </w:p>
        </w:tc>
        <w:tc>
          <w:tcPr>
            <w:tcW w:w="17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Impact of foreign currency</w:t>
            </w:r>
          </w:p>
        </w:tc>
        <w:tc>
          <w:tcPr>
            <w:tcW w:w="1920" w:type="dxa"/>
            <w:vAlign w:val="bottom"/>
          </w:tcPr>
          <w:p>
            <w:pPr>
              <w:jc w:val="center"/>
              <w:ind w:right="33"/>
              <w:spacing w:after="0" w:line="136" w:lineRule="exact"/>
              <w:rPr>
                <w:sz w:val="20"/>
                <w:szCs w:val="20"/>
                <w:color w:val="auto"/>
              </w:rPr>
            </w:pPr>
            <w:r>
              <w:rPr>
                <w:rFonts w:ascii="Times New Roman" w:cs="Times New Roman" w:eastAsia="Times New Roman" w:hAnsi="Times New Roman"/>
                <w:sz w:val="14"/>
                <w:szCs w:val="14"/>
                <w:color w:val="auto"/>
              </w:rPr>
              <w:t>Percentage change on constant</w:t>
            </w:r>
          </w:p>
        </w:tc>
        <w:tc>
          <w:tcPr>
            <w:tcW w:w="15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Impact of acquisition</w:t>
            </w:r>
          </w:p>
        </w:tc>
        <w:tc>
          <w:tcPr>
            <w:tcW w:w="15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Percentage change on an</w:t>
            </w:r>
          </w:p>
        </w:tc>
        <w:tc>
          <w:tcPr>
            <w:tcW w:w="0" w:type="dxa"/>
            <w:vAlign w:val="bottom"/>
          </w:tcPr>
          <w:p>
            <w:pPr>
              <w:spacing w:after="0"/>
              <w:rPr>
                <w:sz w:val="1"/>
                <w:szCs w:val="1"/>
                <w:color w:val="auto"/>
              </w:rPr>
            </w:pPr>
          </w:p>
        </w:tc>
      </w:tr>
      <w:tr>
        <w:trPr>
          <w:trHeight w:val="193"/>
        </w:trPr>
        <w:tc>
          <w:tcPr>
            <w:tcW w:w="264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reported</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exchange</w:t>
            </w:r>
          </w:p>
        </w:tc>
        <w:tc>
          <w:tcPr>
            <w:tcW w:w="1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color w:val="auto"/>
              </w:rPr>
              <w:t>currency basis</w:t>
            </w:r>
          </w:p>
        </w:tc>
        <w:tc>
          <w:tcPr>
            <w:tcW w:w="152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organic basis</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7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segment:</w:t>
            </w: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27.7 %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Consumer</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20.4 %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Flavor Solutions segment:</w:t>
            </w:r>
          </w:p>
        </w:tc>
        <w:tc>
          <w:tcPr>
            <w:tcW w:w="17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8.1 %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0.4 %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0.2 %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Flavor Solutions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5.9 %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3"/>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14.0 %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64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6"/>
                <w:szCs w:val="16"/>
                <w:color w:val="auto"/>
              </w:rPr>
              <w:t>Six months ended May 31, 2026</w:t>
            </w:r>
          </w:p>
        </w:tc>
        <w:tc>
          <w:tcPr>
            <w:tcW w:w="1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rPr>
              <w:t>Percentage change as</w:t>
            </w:r>
          </w:p>
        </w:tc>
        <w:tc>
          <w:tcPr>
            <w:tcW w:w="17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rPr>
              <w:t>Impact of foreign currency</w:t>
            </w:r>
          </w:p>
        </w:tc>
        <w:tc>
          <w:tcPr>
            <w:tcW w:w="1920" w:type="dxa"/>
            <w:vAlign w:val="bottom"/>
          </w:tcPr>
          <w:p>
            <w:pPr>
              <w:jc w:val="center"/>
              <w:ind w:right="33"/>
              <w:spacing w:after="0" w:line="132" w:lineRule="exact"/>
              <w:rPr>
                <w:sz w:val="20"/>
                <w:szCs w:val="20"/>
                <w:color w:val="auto"/>
              </w:rPr>
            </w:pPr>
            <w:r>
              <w:rPr>
                <w:rFonts w:ascii="Times New Roman" w:cs="Times New Roman" w:eastAsia="Times New Roman" w:hAnsi="Times New Roman"/>
                <w:sz w:val="14"/>
                <w:szCs w:val="14"/>
                <w:color w:val="auto"/>
              </w:rPr>
              <w:t>Percentage change on constant</w:t>
            </w:r>
          </w:p>
        </w:tc>
        <w:tc>
          <w:tcPr>
            <w:tcW w:w="15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Impact of acquisition</w:t>
            </w:r>
          </w:p>
        </w:tc>
        <w:tc>
          <w:tcPr>
            <w:tcW w:w="15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color w:val="auto"/>
              </w:rPr>
              <w:t>Percentage change on an</w:t>
            </w:r>
          </w:p>
        </w:tc>
        <w:tc>
          <w:tcPr>
            <w:tcW w:w="0" w:type="dxa"/>
            <w:vAlign w:val="bottom"/>
          </w:tcPr>
          <w:p>
            <w:pPr>
              <w:spacing w:after="0"/>
              <w:rPr>
                <w:sz w:val="1"/>
                <w:szCs w:val="1"/>
                <w:color w:val="auto"/>
              </w:rPr>
            </w:pPr>
          </w:p>
        </w:tc>
      </w:tr>
      <w:tr>
        <w:trPr>
          <w:trHeight w:val="195"/>
        </w:trPr>
        <w:tc>
          <w:tcPr>
            <w:tcW w:w="264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reported</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exchange</w:t>
            </w:r>
          </w:p>
        </w:tc>
        <w:tc>
          <w:tcPr>
            <w:tcW w:w="192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currency basis</w:t>
            </w:r>
          </w:p>
        </w:tc>
        <w:tc>
          <w:tcPr>
            <w:tcW w:w="1520" w:type="dxa"/>
            <w:vAlign w:val="bottom"/>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organic basis</w:t>
            </w:r>
          </w:p>
        </w:tc>
        <w:tc>
          <w:tcPr>
            <w:tcW w:w="0" w:type="dxa"/>
            <w:vAlign w:val="bottom"/>
          </w:tcPr>
          <w:p>
            <w:pPr>
              <w:spacing w:after="0"/>
              <w:rPr>
                <w:sz w:val="1"/>
                <w:szCs w:val="1"/>
                <w:color w:val="auto"/>
              </w:rPr>
            </w:pPr>
          </w:p>
        </w:tc>
      </w:tr>
      <w:tr>
        <w:trPr>
          <w:trHeight w:val="237"/>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7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segment:</w:t>
            </w: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28.8 %</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2.5 %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Consumer</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21.0 %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Flavor Solutions segment:</w:t>
            </w:r>
          </w:p>
        </w:tc>
        <w:tc>
          <w:tcPr>
            <w:tcW w:w="17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6.2 %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EMEA</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APAC</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0.3 %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Flavor Solutions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4.4 %</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13.8 %</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Three months ended May 31, 2026</w:t>
            </w: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760" w:type="dxa"/>
            <w:vAlign w:val="bottom"/>
          </w:tcPr>
          <w:p>
            <w:pPr>
              <w:spacing w:after="0"/>
              <w:rPr>
                <w:sz w:val="11"/>
                <w:szCs w:val="11"/>
                <w:color w:val="auto"/>
              </w:rPr>
            </w:pPr>
          </w:p>
        </w:tc>
        <w:tc>
          <w:tcPr>
            <w:tcW w:w="23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Percentage change as reported</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Impact of foreign currency exchange</w:t>
            </w:r>
          </w:p>
        </w:tc>
        <w:tc>
          <w:tcPr>
            <w:tcW w:w="23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Percentage change on constant currency</w:t>
            </w:r>
          </w:p>
        </w:tc>
        <w:tc>
          <w:tcPr>
            <w:tcW w:w="0" w:type="dxa"/>
            <w:vAlign w:val="bottom"/>
          </w:tcPr>
          <w:p>
            <w:pPr>
              <w:spacing w:after="0"/>
              <w:rPr>
                <w:sz w:val="1"/>
                <w:szCs w:val="1"/>
                <w:color w:val="auto"/>
              </w:rPr>
            </w:pPr>
          </w:p>
        </w:tc>
      </w:tr>
      <w:tr>
        <w:trPr>
          <w:trHeight w:val="193"/>
        </w:trPr>
        <w:tc>
          <w:tcPr>
            <w:tcW w:w="376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color w:val="auto"/>
              </w:rPr>
              <w:t>basis</w:t>
            </w:r>
          </w:p>
        </w:tc>
        <w:tc>
          <w:tcPr>
            <w:tcW w:w="0" w:type="dxa"/>
            <w:vAlign w:val="bottom"/>
          </w:tcPr>
          <w:p>
            <w:pPr>
              <w:spacing w:after="0"/>
              <w:rPr>
                <w:sz w:val="1"/>
                <w:szCs w:val="1"/>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segment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Flavor Solutions segment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2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adjusted operating income</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7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Six months ended May 31, 2026</w:t>
            </w: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760" w:type="dxa"/>
            <w:vAlign w:val="bottom"/>
          </w:tcPr>
          <w:p>
            <w:pPr>
              <w:spacing w:after="0"/>
              <w:rPr>
                <w:sz w:val="11"/>
                <w:szCs w:val="11"/>
                <w:color w:val="auto"/>
              </w:rPr>
            </w:pPr>
          </w:p>
        </w:tc>
        <w:tc>
          <w:tcPr>
            <w:tcW w:w="23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Percentage change as reported</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Impact of foreign currency exchange</w:t>
            </w:r>
          </w:p>
        </w:tc>
        <w:tc>
          <w:tcPr>
            <w:tcW w:w="23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Percentage change on constant currency</w:t>
            </w:r>
          </w:p>
        </w:tc>
        <w:tc>
          <w:tcPr>
            <w:tcW w:w="0" w:type="dxa"/>
            <w:vAlign w:val="bottom"/>
          </w:tcPr>
          <w:p>
            <w:pPr>
              <w:spacing w:after="0"/>
              <w:rPr>
                <w:sz w:val="1"/>
                <w:szCs w:val="1"/>
                <w:color w:val="auto"/>
              </w:rPr>
            </w:pPr>
          </w:p>
        </w:tc>
      </w:tr>
      <w:tr>
        <w:trPr>
          <w:trHeight w:val="193"/>
        </w:trPr>
        <w:tc>
          <w:tcPr>
            <w:tcW w:w="3760" w:type="dxa"/>
            <w:vAlign w:val="bottom"/>
            <w:tcBorders>
              <w:bottom w:val="single" w:sz="8" w:color="CCEEFF"/>
            </w:tcBorders>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color w:val="auto"/>
              </w:rPr>
              <w:t>basis</w:t>
            </w:r>
          </w:p>
        </w:tc>
        <w:tc>
          <w:tcPr>
            <w:tcW w:w="0" w:type="dxa"/>
            <w:vAlign w:val="bottom"/>
          </w:tcPr>
          <w:p>
            <w:pPr>
              <w:spacing w:after="0"/>
              <w:rPr>
                <w:sz w:val="1"/>
                <w:szCs w:val="1"/>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3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segment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Flavor Solutions segment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adjusted operating income</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39" w:name="page40"/>
    <w:bookmarkEnd w:id="39"/>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To present the percentage change in projected 2026 net sales, adjusted operating income, and adjusted earnings per share (diluted) on a constant currency basis, the projected local currency net sales, adjusted operating income, and adjusted net income for entities reporting in currencies other than the U.S. dollar are translated into U.S. dollars at forecasted exchange rates. These figures are then compared to the 2025 local currency projected results, which are translated into U.S. dollars at the average actual exchange rates in effect during the corresponding months of fiscal year 2025. This comparison determines what the 2025 consolidated U.S. dollar net sales, adjusted operating income, and adjusted earnings per share (diluted) would have been if the relevant currency exchange rates had not changed from those of the comparable 2025 periods.</w:t>
      </w: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320"/>
              <w:spacing w:after="0" w:line="185" w:lineRule="exact"/>
              <w:rPr>
                <w:sz w:val="20"/>
                <w:szCs w:val="20"/>
                <w:color w:val="auto"/>
              </w:rPr>
            </w:pPr>
            <w:r>
              <w:rPr>
                <w:rFonts w:ascii="Times New Roman" w:cs="Times New Roman" w:eastAsia="Times New Roman" w:hAnsi="Times New Roman"/>
                <w:sz w:val="18"/>
                <w:szCs w:val="18"/>
                <w:color w:val="auto"/>
              </w:rPr>
              <w:t>Projections for the Year Ending</w:t>
            </w: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November 30, 2026</w:t>
            </w:r>
          </w:p>
        </w:tc>
        <w:tc>
          <w:tcPr>
            <w:tcW w:w="0" w:type="dxa"/>
            <w:vAlign w:val="bottom"/>
          </w:tcPr>
          <w:p>
            <w:pPr>
              <w:spacing w:after="0"/>
              <w:rPr>
                <w:sz w:val="1"/>
                <w:szCs w:val="1"/>
                <w:color w:val="auto"/>
              </w:rPr>
            </w:pPr>
          </w:p>
        </w:tc>
      </w:tr>
      <w:tr>
        <w:trPr>
          <w:trHeight w:val="22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change in net sales</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to 17%</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favorable foreign currency exchange</w:t>
            </w: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change in net sales in constant currency</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to 16%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Impact of acquisition</w:t>
            </w: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tcBorders>
              <w:bottom w:val="single" w:sz="8" w:color="CCEEFF"/>
            </w:tcBorders>
            <w:vMerge w:val="continue"/>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11% to 13%</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change in organic net sales</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to 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change in adjusted operating income</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 to 20%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favorable foreign currency exchange</w:t>
            </w: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change in adjusted operating income in constant currency</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to 19%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change in adjusted earnings per share - diluted</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 to 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favorable foreign currency exchange</w:t>
            </w:r>
          </w:p>
        </w:tc>
        <w:tc>
          <w:tcPr>
            <w:tcW w:w="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change in adjusted earnings per share in constant currency - diluted</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to 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LIQUIDITY AND FINANCIAL CONDITION</w:t>
            </w: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75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May 31,</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2026</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w w:val="99"/>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8"/>
              </w:rPr>
              <w:t>430.7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161.4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8"/>
              </w:rPr>
              <w:t>(805.1)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8"/>
              </w:rPr>
              <w:t>602.7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91"/>
              <w:spacing w:after="0"/>
              <w:rPr>
                <w:sz w:val="20"/>
                <w:szCs w:val="20"/>
                <w:color w:val="auto"/>
              </w:rPr>
            </w:pPr>
            <w:r>
              <w:rPr>
                <w:rFonts w:ascii="Times New Roman" w:cs="Times New Roman" w:eastAsia="Times New Roman" w:hAnsi="Times New Roman"/>
                <w:sz w:val="18"/>
                <w:szCs w:val="18"/>
                <w:color w:val="auto"/>
              </w:rPr>
              <w:t>(142.9)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primary objective of our financing strategy is to maintain a prudent capital structure that provides us with flexibility to pursue our growth objectives. We use a combination of equity and short- and long-term debt. We use short-term debt, comprised primarily of commercial paper, principally to finance ongoing operations, including our requirements for working capital (accounts receivable, prepaid expenses and other current assets, and inventories, less accounts payable, accrued payroll, and other accrued liabilities). We are committed to maintaining investment grade credit ratings.</w:t>
      </w:r>
    </w:p>
    <w:p>
      <w:pPr>
        <w:spacing w:after="0" w:line="1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cash flow from operations enables us to fund operating projects and investments that are designed to meet our growth objectives, service our debt, fund or increase our quarterly dividends, fund capital projects and other investments, and make share repurchases when appropriate. Due to the cyclical nature of a portion of our business, our cash flow from operations has historically been the strongest during the fourth quarter of our fiscal year. Due to the timing of the interest payments on our long-term debt, interest payments are higher in the first and third quarters of our fiscal year.</w:t>
      </w:r>
    </w:p>
    <w:p>
      <w:pPr>
        <w:spacing w:after="0" w:line="12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We expect that the pending combination with Unilever Foods is likely to result in a material increase in our debt and liquidity needs that will impact our capital needs prior to and after the closing of such transaction. Under the terms of the Merger Agreement, we will issue voting and non-voting securities to Unilever and its shareholders and make a one-time cash payment of $15.7 billion to Unilever, subject to certain adjustments, which we intend to fund through the Bridge Facility, the Term Loan Facility, and, to the extent available, the Permanent Financing. See Note 4 of the notes to the condensed consolidated financial statements for further discussion. We believe that our sources of liquidity, which include existing cash balances, cash flows from operations, existing credit facilities, our commercial paper program, access to capital markets and the committed debt financing related to the pending transaction with Unilever Foods, will provide sufficient liquidity to meet our debt obligations, including any repayment of debt or refinancing of debt, working capital needs, planned capital expenditures, the one-time cash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0" w:name="page41"/>
    <w:bookmarkEnd w:id="40"/>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payment to Unilever in connection with the pending transaction, the payment associated with an acquisition and payment of anticipated quarterly dividends for at least the next twelve months.</w:t>
      </w:r>
    </w:p>
    <w:p>
      <w:pPr>
        <w:spacing w:after="0" w:line="18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In the consolidated cash flow statement, the changes in operating assets and liabilities are presented excluding the translation effects of changes in foreign currency exchange rates as these do not reflect actual cash flows. In addition, in the cash flow statement, the changes in operating assets and liabilities are presented excluding the effect of acquired or disposed operating assets and liabilities, as the cash flow associated with acquisition or disposition of businesses is presented as an investing activity. Accordingly, the amounts in the cash flow statement do not agree with changes in the operating assets and liabilities that are presented in the balance sheet.</w:t>
      </w:r>
    </w:p>
    <w:p>
      <w:pPr>
        <w:spacing w:after="0" w:line="140"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Operating Cash Flow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cash provided by operating activities of $430.7 million for the six months ended May 31, 2026 increased $269.3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$161.4 million for the corresponding 2025 period. The increase in operating cash flow was primarily driven by lower cash used for working capital. The lower use of cash associated with working capital, net of effect of businesses acquired, was driven by a decreased use of cash associated with accounts payable and increased source of cash from accounts receivables in 2026 compared to the 2025 period.</w:t>
      </w:r>
    </w:p>
    <w:p>
      <w:pPr>
        <w:spacing w:after="0" w:line="13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Investing Cash Flow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used in investing activities of $805.1 million for the six months ended May 31, 2026 increased by $699.9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$105.2 million for the corresponding period in 2025. Our primary investing cash flows included cash used in the acquisition of a business and cash used for capital expenditures. Capital expenditures, including expenditures for capitalized software decreased from the 2025 level of $85.4 million to $75.2 million. Cash used for the acquisition of a business, net of cash acquired for the six months ended May 31, 2026 was $729.9 million as compared to $19.8 million for the six months ended May 31, 2025. We expect 2026 capital expenditures to approximate $250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Financing Cash Flow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activities provided cash of $602.7 million for the six months ended May 31, 2026 as compared to a use of cash of</w:t>
      </w:r>
    </w:p>
    <w:p>
      <w:pPr>
        <w:spacing w:after="0" w:line="32"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$142.9 million for the corresponding period in 2025. The year-over-year change was primarily driven by fluctuations in net borrowings, share repurchase activity, and dividend payments, as further described below.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our net borrowing activities: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May 31,</w:t>
            </w:r>
          </w:p>
        </w:tc>
        <w:tc>
          <w:tcPr>
            <w:tcW w:w="1060" w:type="dxa"/>
            <w:vAlign w:val="bottom"/>
          </w:tcPr>
          <w:p>
            <w:pPr>
              <w:spacing w:after="0"/>
              <w:rPr>
                <w:sz w:val="16"/>
                <w:szCs w:val="16"/>
                <w:color w:val="auto"/>
              </w:rPr>
            </w:pPr>
          </w:p>
        </w:tc>
      </w:tr>
      <w:tr>
        <w:trPr>
          <w:trHeight w:val="202"/>
        </w:trPr>
        <w:tc>
          <w:tcPr>
            <w:tcW w:w="7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3"/>
        </w:trPr>
        <w:tc>
          <w:tcPr>
            <w:tcW w:w="7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short-term borrowings (repayments), net</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fees paid</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 borrowings (net of debt issuance costs of $1.1)</w:t>
            </w:r>
          </w:p>
        </w:tc>
        <w:tc>
          <w:tcPr>
            <w:tcW w:w="10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borrowing activities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During the six months ended May 31, 2026, the increase in short-term borrowings was principally to fund investing cash requirements. During the six months ended May 31, 2026, we repaid $504.4 million of long-term debt, including the $500 million, 0.90% notes that matured in February 2026. In the second quarter of 2026, we paid $51.0 million of aggregate debt financing fees related to the pending merger with Unilever Foods which were deferred in Other assets and are being amortized to Interest expense. During the six months ended May 31, 2026, we issued $500 million of 4.15% notes due 2029, with net proceeds received of $497.1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activity in our share repurchase program:</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 May 31,</w:t>
            </w:r>
          </w:p>
        </w:tc>
        <w:tc>
          <w:tcPr>
            <w:tcW w:w="1060" w:type="dxa"/>
            <w:vAlign w:val="bottom"/>
          </w:tcPr>
          <w:p>
            <w:pPr>
              <w:spacing w:after="0"/>
              <w:rPr>
                <w:sz w:val="16"/>
                <w:szCs w:val="16"/>
                <w:color w:val="auto"/>
              </w:rPr>
            </w:pPr>
          </w:p>
        </w:tc>
      </w:tr>
      <w:tr>
        <w:trPr>
          <w:trHeight w:val="203"/>
        </w:trPr>
        <w:tc>
          <w:tcPr>
            <w:tcW w:w="75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676"/>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3"/>
        </w:trPr>
        <w:tc>
          <w:tcPr>
            <w:tcW w:w="7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of common stock repurchased (in thousands)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 amount (in millions)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bl>
    <w:p>
      <w:pPr>
        <w:spacing w:after="0" w:line="23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of May 31, 2026, approximately $402.6 million remained of the $600.0 million share repurchase program that was authorized by the Board of Directors in November 2019. The timing and amount of any shares repurchased is determined by our management based on its evaluation of market conditions and other factors.</w:t>
      </w:r>
    </w:p>
    <w:p>
      <w:pPr>
        <w:spacing w:after="0" w:line="13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During the six months ended May 31, 2026, we received proceeds of $13.6 million from exercised stock options as compared to $13.3 million received in the corresponding 2025 period. We repurchased $11.9 million and $12.6 million of common stock during the six months ended May 31, 2026 and 2025, respectively, in conjunction with employee tax withholding requirements associated with our stock compensation plans.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1" w:name="page42"/>
    <w:bookmarkEnd w:id="41"/>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Dividends paid increased to $257.9 million, or a per share quarterly dividend of $0.48, in the first six months of 2026 from $241.5 million, or a per share quarterly dividend of $0.45, of dividends paid in the same period last year. The timing and amount of any future dividends is determined by our Board of Directors. We paid dividends to our joint venture partner of $8.4 million in the first six months of 2026.</w:t>
      </w:r>
    </w:p>
    <w:p>
      <w:pPr>
        <w:spacing w:after="0" w:line="11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Most of our cash is in our subsidiaries outside of the U.S. We manage our worldwide cash requirements by considering available funds among the many subsidiaries through which we conduct our business and the cost effectiveness with which those funds can be accessed. Those balances are generally available without legal restrictions to fund ordinary business operations, capital projects and any possible future acquisitions.</w:t>
      </w:r>
    </w:p>
    <w:p>
      <w:pPr>
        <w:spacing w:after="0" w:line="11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At May 31, 2026 and 2025, we temporarily used $449.4 million and $614.2 million, respectively, of cash from our non-U.S. subsidiaries to pay down short-term debt in the U.S. During a quarter, our short-term borrowings vary, but are typically lower at the end of a quarter. The average short-term borrowings outstanding for the six months ended May 31, 2026 and 2025 were $1,519.4 million and $1,073.5 million, respectively. Total average debt outstanding for the six months ended May 31, 2026 and 2025 was $5,111.1 million and $4,873.5 million, respectively.</w:t>
      </w:r>
    </w:p>
    <w:p>
      <w:pPr>
        <w:spacing w:after="0" w:line="123"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reported values of our assets and liabilities are significantly affected by fluctuations in foreign exchange rates between periods. At May 31, 2026, the exchange rate for the British pound sterling, Euro, Canadian dollar, Mexican peso, Chinese renminbi, Australian dollar, and Polish zloty were higher than the U.S. dollar at November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and Capital Markets</w:t>
      </w:r>
    </w:p>
    <w:p>
      <w:pPr>
        <w:spacing w:after="0" w:line="173"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7"/>
          <w:szCs w:val="17"/>
          <w:color w:val="auto"/>
        </w:rPr>
        <w:t>Cash flows from operating activities are our primary source of liquidity for funding growth, dividends, capital expenditures and share repurchases. We also rely on our revolving credit facilities, or borrowings backed by these facilities, to fund working capital needs and other general corporate requirements.</w:t>
      </w:r>
    </w:p>
    <w:p>
      <w:pPr>
        <w:spacing w:after="0" w:line="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February 2026, we issued $500 million aggregate principal amount of 4.15% unsecured senior notes due 2029. Interest is payable semiannually in February and August of each year, beginning in August 2026. The net proceeds received from the issuances of these notes of $497.1 million were used to repay a portion of the outstanding $500 million 0.90% notes due in February 2026.</w:t>
      </w:r>
    </w:p>
    <w:p>
      <w:pPr>
        <w:spacing w:after="0" w:line="11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March 2026, we entered into the Bridge Commitment Letter in connection with the financing of the pending transaction with Unilever, pursuant to which the Commitment Parties committed to provide, subject to the terms and conditions set forth therein, the Bridge Facility an aggregate principal amount of up to $15.7 billion to fund the cash consideration and related fees and expenses at closing of the pending transaction. Effective April 28, 2026, we terminated $2.0 billion of the commitments under the Bridge Facility and entered into a term loan agreement as described below, subject to customary closing conditions for similar facilities.</w:t>
      </w:r>
    </w:p>
    <w:p>
      <w:pPr>
        <w:spacing w:after="0" w:line="12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In April 2026, we entered into the Term Loan Agreement by and among us, the lenders party thereto and Citibank, N.A., as the Administrative Agent. The Term Loan Agreement provides us with the Term Loan Facility at the the Closing Date, subject to satisfaction of customary closing conditions for similar facilities, for the purpose of financing a portion of the cash consideration to be paid in the pending transaction and paying related fees and expenses in connection therewith. The Term Loan Facility may be funded on the Closing Date or, subject to compliance with certain conditions, on the preceding business day, and matures three years after the Closing Date. Under the Term Loan Agreement, borrowings will bear interest on the principal amount outstanding at a floating rate based on, at our election, (i) Term SOFR (as defined in the Term Loan Agreement) plus an applicable margin based on the credit ratings of our senior unsecured long term debt ranging from 0.75% to 1.50% or (ii) Base Rate (as defined in the Term Loan Agreement) plus an applicable margin based on the credit ratings of our senior unsecured long term debt ranging from 0.00% to 0.50%. The Term Loan Agreement contains a financial covenant requiring us to maintain a minimum interest coverage ratio as well as other non-financial covenants and certain customary events of default.</w:t>
      </w:r>
    </w:p>
    <w:p>
      <w:pPr>
        <w:spacing w:after="0" w:line="19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Our committed revolving credit facilities include a five-year $2.0 billion revolving credit facility expiring in May 2030 and a 364-day $500 million revolving credit facility expiring in January 2027. Pricing for both facilities, on a fully drawn basis, is currently Term SOFR plus 1.125% and is based on a credit rating grid, with a maximum fully drawn rate of Term SOFR plus 1.50%. The provisions of our revolving credit facilities restrict subsidiary indebtedness and require us to maintain a minimum interest coverage ratio. We do not expect that this covenant would limit our access to our revolving credit facilities for the foreseeable future.</w:t>
      </w:r>
    </w:p>
    <w:p>
      <w:pPr>
        <w:spacing w:after="0" w:line="14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generally use our revolving credit facilities to support our issuance of commercial paper. If the commercial paper market is not available or viable, we could borrow directly under our revolving credit facility. This facility is made available by a syndicate of banks, with various commitments per bank. If any of the banks in this syndicate are unable to perform on their commitments, our liquidity could be impacted, which could reduce our ability to grow through funding of our working capital. We periodically review our banking and financing relationships, considering the stability of the institutions and other aspects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relationships. In addition, we engage in regular communication with all banks participating in our credit facility. During these communications, none of the banks have indicated that they may be unable to perform on their commitments. Based on these communications and our monitoring activities, we believe our banks will perform on their commitments.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Material Cash Requirements</w:t>
      </w:r>
    </w:p>
    <w:p>
      <w:pPr>
        <w:spacing w:after="0" w:line="22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 Our primary obligations include principal and interest payments on our outstanding short-term borrowings and long-term debt. Our other cash requirements include raw material purchases, lease payments, income taxes, anticipated quarterly dividends, and pension and postretirement benefits, as well as other contractual obligations. In addition, in connection with the pending transaction with Unilever Foods, we will be obligated to make a one-time cash payment of $15.7 billion to Unilever, subject to certain adjustments.</w:t>
      </w:r>
    </w:p>
    <w:p>
      <w:pPr>
        <w:spacing w:after="0" w:line="211"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These obligations impact our liquidity and capital resource needs. To meet those cash requirements, we intend to use our existing cash, cash equivalents and internally generated funds, to borrow under our existing credit facilities or under other short-term borrowing facilities, to utilize the committed debt financing we have obtained in connection with the pending transaction, and depending on market conditions and upon the significance of the cost of a particular debt maturity to our then-available sources of funds, to obtain additional short- and long-term financing. We believe that the cash provided from these sources will be adequate to meet our future cash requirements.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New accounting pronouncements are issued periodically that affect our current and future operations. See Note 1 of notes to the accompanying condensed consolidated financial statements for further details of these impacts.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 AND ASSUMPTIONS</w:t>
      </w:r>
    </w:p>
    <w:p>
      <w:pPr>
        <w:spacing w:after="0" w:line="17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preparing the financial statements, we are required to make estimates and assumptions that have an impact on the assets, liabilities, revenue and expenses reported. These estimates can also affect supplemental information disclosed by us, including information about contingencies, risk and financial condition. We believe, given current facts and circumstances, our estimates and assumptions are reasonable, adhere to GAAP and are consistently applied. Inherent in the nature of an estimate or assumption is the fact that actual results may differ from estimates, and estimates may vary as new facts and circumstances arise. In preparing the financial statements, we make routine estimates and judgments in determining the net realizable value of accounts receivable, inventory, fixed assets, and prepaid allowances. Our most critical accounting estimates and assumptions are included in our Annual Report on Form 10-K for the fiscal year ended November 30, 2025.</w:t>
      </w:r>
    </w:p>
    <w:p>
      <w:pPr>
        <w:spacing w:after="0" w:line="1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critical accounting estimates and assumptions included in our Annual Report on Form 10-K for the fiscal year ended November 30, 2025 except as follows.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We use the acquisition method in accounting for acquired businesses. Under the acquisition method, our financial statements reflect the operations of an acquired business starting from the closing of the acquisition. The assets acquired and liabilities assumed are recorded at their respective estimated fair values at the date of the acquisition. The fair value of any noncontrolling interest is estimated based on the implied value derived from the consideration transferred adjusted for any control premium. Any excess of the purchase consideration over the estimated fair values of the identifiable net assets acquired is recorded as goodwill. Significant judgment is often required in estimating the fair value of assets acquired, particularly intangible assets, and noncontrolling interest. We generally obtain the assistance of a third-party valuation specialist in estimating fair values of tangible and intangible assets as well as estimating the fair value of any noncontrolling interest. The fair value estimates are based on available historical information and on expectations and assumptions about the future, considering the perspective of marketplace participants. While management believes those expectations and assumptions are reasonable, they are inherently uncertain. Unanticipated market or macroeconomic events and circumstances may occur, which could affect the accuracy or validity of the estimates and assumptions.</w:t>
      </w:r>
    </w:p>
    <w:p>
      <w:pPr>
        <w:spacing w:after="0" w:line="145"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8"/>
          <w:szCs w:val="18"/>
          <w:color w:val="auto"/>
        </w:rPr>
        <w:t>Determining the useful lives of intangible assets also requires judgment. Certain intangibles are expected to have indefinite lives, including brand intangibles based on their history and our plans to continue to support and build the acquired brands, and reacquired rights based on their ability to contribute cash flows for the foreseeable future without substantive limiting factors. Other acquired intangible assets such as customer relationships are expected to have determinable useful lives. Our estimates of the useful lives of definite-lived intangible assets are primarily based upon historical experience, the competitive and</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3" w:name="page44"/>
    <w:bookmarkEnd w:id="43"/>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macroeconomic environment, and our operating plans. The costs of definite-lived intangibles are amortized to expense over their estimated life.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statements contained in this report, including statements concerning expected performance such as those relating to net sales, gross margin, earnings, cost savings, special charges, including transaction and integration expenses, mergers, acquisitions, brand marketing support, volume and product mix, income tax expense, tariff-related matters, and the impact of foreign currency rates are “forward-looking statements” within the meaning of Section 21E of the Securities Exchange Act of 1934, as amended. These statements may be identified by the use of words such as “may,” “will,” “expect,” “should,” “anticipate,” “intend,” “believe,” “plan,” and similar expressions. These statements may relate to: the anticipated benefits and timing of, and our plans, strategies and objectives relating to, the pending transaction with Unilever Foods, including: due to the parties’ ability to meet expectations regarding the timing, completion and accounting and tax treatments of the pending transaction, including changes in relevant tax and other applicable laws; the failure to obtain necessary regulatory approvals, approval of our shareholders, anticipated tax treatment or any required financing, or to satisfy any of the other conditions to the pending transaction; the possibility that unforeseen liabilities, future capital expenditures, revenues, expenses, earnings, synergies, economic performance, indebtedness, financial condition, losses, future prospects, business and management strategies could impact the value or expected benefit of, timing or pursuit of the pending transaction; the risks and costs of the pursuit and/or implementation of the anticipated separation of Unilever Foods business prior to closing, including the anticipated timing required to complete the separation, any adjustment to the terms of the separation and any changes to the configuration of the businesses included in the separation if implemented; the financing of the pending transaction, including with respect to the Bridge Facility, the Term Loan Facility, and any other subsequent financing; the effectiveness of a registration statement on Form S-4 and our receipt of shareholder approval for the pending transaction and certain related matters; the anticipated ownership percentages of McCormick shareholders, Unilever shareholders and Unilever following the closing of the pending transaction; the effect of the announcement or pendency of the pending transaction on Unilever Foods’ or McCormick’s business relationships, competition, business, financial condition and operating results; the ability of McCormick to successfully integrate Unilever Foods’ operations and implement its plans, forecasts and other expectations with respect to Unilever Foods’ business or the combined business after the closing of the pending transaction; the ability of McCormick to manage additional debt and successfully de-lever following the transaction; general economic and industry conditions, including consumer spending rates, recessions, interest rates, and availability of capital; expectations regarding sales growth potential in various geographies and markets, including the impact of brand marketing support, product innovation, and customer, channel, category, heat platform, and e-commerce expansion; the expected results of operations of businesses acquired, including the additional 25% ownership interest in McCormick de Mexico; expected trends in net sales, earnings performance, and other financial measures; the expected impact of pricing actions on the Company's results of operations, including our sales volume and mix as well as gross margins; the expected impact of the inflationary cost environment on our business; the anticipated effects of factors affecting our supply chain, including the availability and prices of commodities and other supply chain resources such as raw materials, packaging, labor, and transportation; the potential impact of trade policies, including tariffs; the potential impact of legal challenges to U.S. tariffs, tariff refunds, and the timing and anticipated benefits thereof; the expected impact of productivity improvements, including those associated with our CCI program and the Global Business Services operating model initiative; the ability to identify, attract, hire, retain, and develop qualified personnel and the next generation of leaders; the impact of ongoing or future geopolitical conflicts, including those between Russia and Ukraine and the war/conflict in the Middle East, including the potential for broader economic disruption, in particular related to fuel and freight prices; expected working capital improvements; the anticipated timing and costs of implementing our business transformation initiative, which includes the implementation of a global enterprise resource planning (ERP) system; the expected impact of accounting pronouncements; expectations regarding pension and postretirement plan contributions and anticipated charges associated with those plans; the holding period and market risks associated with financial instruments; the impact of foreign exchange fluctuations; the adequacy of internally generated funds and existing sources of liquidity, such as the availability of bank financing; the anticipated sufficiency of future cash flows to enable payments of interest, repayment of short- and long-term debt, working capital needs, planned capital expenditures, quarterly dividends, and our ability to obtain additional short- and long-term financing or issue additional debt securities; and expectations regarding purchasing shares of McCormick's common stock under the existing repurchase authorization.</w:t>
      </w:r>
    </w:p>
    <w:p>
      <w:pPr>
        <w:spacing w:after="0" w:line="167"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These and other forward-looking statements are based on management’s current views and assumptions and involve risks and uncertainties that could significantly affect expected results. Results may be materially affected by factors such as: the Company's ability to drive revenue growth; the Company's ability to increase pricing to offset, or partially offset, inflationary pressures on the cost of our products; damage to the Company's reputation or brand name; loss of brand relevance; increased private label use; the Company's ability to offset cost pressures or business impacts related to trade policies such as tariffs, including relating to tariff refunds; the Company's ability to drive productivity improvements, including those related to our CCI program and other streamlining actions; product quality, labeling, or safety concerns; negative publicity about our products; actions by, and the financial condition of, competitors and customers; the longevity of mutually beneficial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4" w:name="page45"/>
    <w:bookmarkEnd w:id="44"/>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relationships with our large customers; the ability to identify, interpret and react to changes in consumer preference and demand; business interruptions due to natural disasters, unexpected events or public health crises; issues affecting the Company's supply chain and procurement of raw materials, including fluctuations in the cost and availability of raw and packaging materials; labor shortage, turnover and labor cost increases; the impact of changing political and geopolitical conditions, including the ongoing conflicts between Russia and Ukraine and the war/conflict in the Middle East, including the potential for broader economic disruption; government regulation, and changes in legal and regulatory requirements and enforcement practices; the lack of successful acquisition and integration of new businesses; global economic and financial conditions generally, availability of financing, interest and inflation rates, and the imposition of tariffs, quotas, trade barriers and other similar restrictions; foreign currency fluctuations; the effects of our amount of outstanding indebtedness and related level of debt service as well as the effects that such debt service may have on the Company's ability to borrow or the cost of any such additional borrowing, our credit rating, and our ability to react to certain economic and industry conditions; impairments of indefinite-lived intangible assets; assumptions we have made regarding the investment return on retirement plan assets, and the costs associated with pension obligations; the stability of credit and capital markets; risks associated with the Company's information technology systems, including the threat of data breaches and cyber-attacks; the Company's inability to successfully implement our business transformation initiative; fundamental changes in tax laws; including interpretations and assumptions we have made, and guidance that may be issued, and volatility in our effective tax rate; climate change; Environmental, Social and Governance (ESG) matters; infringement of intellectual property rights, and those of customers; litigation, legal and administrative proceedings; the Company's inability to achieve expected and/or needed cost savings or margin improvements; negative employee relations; risks related to the pending transaction with Unilever Foods, including: direct transaction costs and substantial transition and integration-related costs associated with the pending transaction; the parties' ability to meet expectations regarding the timing, completion and accounting and tax treatments of the transaction, and the occurrence of any event, change or other circumstance that could give rise to the termination of the transaction agreement; the failure to obtain necessary regulatory approvals, anticipated tax treatment or any required financing, or to satisfy any of the other conditions to the transaction; the possibility that unforeseen liabilities, future capital expenditures, revenues, expenses, earnings, synergies, economic performance, indebtedness, financial condition, losses, future prospects, business and management strategies could adversely impact the value or expected benefit of, timing or pursuit of the transaction; the risks and costs of the pursuit and/or implementation of the anticipated separation of Unilever Foods' business prior to closing; uncertainties as to access to available financing to consummate the transaction upon acceptable terms and on a timely basis or at all; the failure to obtain the effectiveness of a registration statement on Form S-4 or our receipt of shareholder approval for the transaction;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the ability of McCormick to successfully integrate Unilever Foods' operations and implement its plans, forecasts and other expectations with respect to Unilever Foods' business or the combined business after the closing of the transaction; the ability of McCormick to manage additional debt and successfully de-lever following the transaction; the outcome of any legal proceedings that may be instituted against Unilever Foods or McCormick related to the transaction; and other risks as described herein under Part II, Item 1A “Risk Factors—Risks Relating to the Proposed Transaction”; and other risks described in the Company's filings with the Securities and Exchange Commission.</w:t>
      </w:r>
    </w:p>
    <w:p>
      <w:pPr>
        <w:spacing w:after="0" w:line="1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w:t>
      </w:r>
    </w:p>
    <w:p>
      <w:pPr>
        <w:spacing w:after="0" w:line="200" w:lineRule="exact"/>
        <w:rPr>
          <w:sz w:val="20"/>
          <w:szCs w:val="20"/>
          <w:color w:val="auto"/>
        </w:rPr>
      </w:pPr>
    </w:p>
    <w:p>
      <w:pPr>
        <w:spacing w:after="0" w:line="3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risks, see “Market Risk Sensitivity” in the Management’s Discussion and Analysis of Financial Condition and Results of Operations above, Note 4 of notes to our accompanying condensed consolidated financial statements, and Item 7A, Quantitative and Qualitative Disclosures About Market Risk, in our Annual Report on Form 10-K for the year ended November 30, 2025. Except as described in Management’s Discussion and Analysis of Financial Condition and Results of Operations, Market Risk Sensitivity, and Note 4 of notes to our accompanying condensed consolidated financial statements, there have been no significant changes in our financial instrument portfolio or market risk exposures since our November 30, 2025 fiscal year end.</w:t>
      </w:r>
    </w:p>
    <w:p>
      <w:pPr>
        <w:spacing w:after="0" w:line="200" w:lineRule="exact"/>
        <w:rPr>
          <w:sz w:val="20"/>
          <w:szCs w:val="20"/>
          <w:color w:val="auto"/>
        </w:rPr>
      </w:pPr>
    </w:p>
    <w:p>
      <w:pPr>
        <w:spacing w:after="0" w:line="3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6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with the participation of our Chief Executive Officer and Chief Financial Officer,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defined in Rule 13a-15(e)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5" w:name="page46"/>
    <w:bookmarkEnd w:id="45"/>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the Securities Exchange Act of 1934, as of the end of the period covered by this report. Based on that evaluation, our Chief Executive Officer and Chief Financial Officer concluded that, as of the end of the period covered by this report, our disclosure controls and procedures were effective.</w:t>
      </w:r>
    </w:p>
    <w:p>
      <w:pPr>
        <w:spacing w:after="0" w:line="12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that occurred during our latest fiscal quarter that materially affected, or is reasonably likely to materially affect, our internal control over financial reporting except as follows.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our second quarter of 2026, McCormick de Mexico implemented a new enterprise resource planning (ERP) replacement program for a majority of the financial accounting systems.</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9" w:right="439" w:bottom="1440" w:gutter="0" w:footer="0" w:header="0"/>
        </w:sectPr>
      </w:pPr>
    </w:p>
    <w:bookmarkStart w:id="46" w:name="page47"/>
    <w:bookmarkEnd w:id="46"/>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pending legal proceedings in which we or our subsidiaries is a party or in which any of our or their property is the subject.</w:t>
      </w:r>
    </w:p>
    <w:p>
      <w:pPr>
        <w:spacing w:after="0" w:line="3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Part I, Item 1A to our Annual Report on Form 10-K for the fiscal year ended November 30, 2025, except as follows.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Company, Business and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 between the United States, Israel, and Iran and related geopolitical instability may adversely affect our business.</w:t>
      </w:r>
    </w:p>
    <w:p>
      <w:pPr>
        <w:spacing w:after="0" w:line="16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On February 28, 2026, the United States and Israel launched coordinated military strikes against Iran, which retaliated with missile attacks across the Middle East. The military conflict in Iran has resulted in instability around the Middle East region, particularly a disruption in shipment of global oil and gas flows, with cascading effects on energy prices and global economic conditions. Despite current de-escalation and settlement negotiations, tensions in the region remain high. Although we do not have material operations in the region, the conflict and any further escalation, including heightened military activity, retaliatory measures, sanctions, disruptions to trade or transportation routes, cyberattacks, or other governmental or market responses, has and could continue to lead to significant disruption of global energy supplies and increases in global energy prices, heighten inflationary pressures on our input costs and supply chain (including freight costs), adversely affect global supply chains, energy markets, commodity prices, currency exchange rates, financial markets and overall macroeconomic conditions, and adversely impact customer spending patterns in markets in which we operate. While we expect the impacts of the conflict to continue to have an effect on our business, financial condition and results of operations, we are unable to predict the extent or nature of these impacts at this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Relating to the Proposed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complete the proposed transaction or may not complete it on the terms described herein or in our other filings with the SEC.</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proposed transaction is subject to the satisfaction or waiver of customary closing conditions, including, among other things, approval by the requisite vote of our shareholders of the issuance of our voting and non-voting stock in connection with the transaction and an amendment to our charter, the expiration or termination of the applicable waiting period under the Hart-Scott-Rodino Antitrust Improvement Act of 1976, as amended, obtaining certain other regulatory approvals, and the effectiveness of a registration statement on Form S-4 to be filed by us. As a result, the possible timing and likelihood of completion are uncertain and, accordingly, there can be no assurance that the proposed transaction will be completed on the anticipated schedule, if at all.</w:t>
      </w:r>
    </w:p>
    <w:p>
      <w:pPr>
        <w:spacing w:after="0" w:line="1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Any delay in completing the proposed transaction could cause us not to realize some or all of the anticipated benefits when expected, if at all. If the proposed transaction is not completed, we could be subject to a number of risks that may adversely affect our business and operating results, including, among other things:</w:t>
      </w:r>
    </w:p>
    <w:p>
      <w:pPr>
        <w:spacing w:after="0" w:line="12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to the extent it reflects an assumption that we will complete the proposed transaction;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incurrence of significant transaction costs that we would be unable to recoup;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specified circumstances we could be required to pay Unilever a termination fee, as more fully described in the Merger Agreement;</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related to any failure to complete the proposed transaction or related to any enforcement proceeding commenced against us to perform our obligations under the Merger Agreement; and</w:t>
      </w: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other negative impacts on our relationships with customers, suppliers, and employees resulting from failure to complete the proposed transaction.</w:t>
      </w:r>
    </w:p>
    <w:p>
      <w:pPr>
        <w:spacing w:after="0" w:line="1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terms of the definitive agreements governing the proposed transaction, including, but not limited to, a stockholders’ agreement, a transition services agreement, a tax matters agreement and certain intellectual property and asset purchase agreements, to be entered into by us at closing, have not been finalized and remain subject to negotiation. The final terms of such agreements may differ materially from those described herein and in our other filings with the SEC. There can be no assurance that the parties will reach agreement on mutually acceptable final terms for all definitive agreements, or that the definitive agreements, once executed, will reflect the economic or legal terms currently anticipated or described herein.</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47" w:name="page48"/>
    <w:bookmarkEnd w:id="47"/>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proposed transaction is subject to the receipt of governmental approvals that may impose conditions that could have an adverse effect on us or, if not obtained, could prevent completion of the proposed transaction.</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Completion of the proposed transaction is conditioned upon the receipt of certain governmental authorizations, consents, or other approvals, including certain antitrust approvals and any foreign investment approvals. There can be no assurance that these approvals will be obtained and that the other conditions to completing the proposed transaction will be satisfied. In addition, the governmental authorities from which these approvals are required may impose conditions on the completion of the proposed transaction or require changes to the terms of the proposed transaction or agreements to be entered into in connection with the proposed transaction, including the divestiture of certain businesses or assets. Such conditions or changes and the process of obtaining these approvals could have the effect of delaying or impeding completion of the proposed transaction or of imposing additional costs or limitations on us following completion of the proposed transaction, and could jeopardize or delay completion of the proposed transaction or reduce the anticipated benefits of the proposed transaction, any of which might have an adverse effect on our business, operating results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pendency of the proposed transaction may adversely affect our business and operations.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While the proposed transaction is pending, uncertainty about the effect of the proposed transaction on our employees, customers, suppliers, and other business relationships may adversely affect our business and operations. Such uncertainty may impair our ability to retain and motivate key personnel, and our current and prospective customers and suppliers may defer decisions concerning us, or seek to change or terminate existing relationships with us. In addition, the Merger Agreement restricts us from taking certain actions outside the ordinary course of business prior to closing, including, among other things, certain acquisitions, certain amendments to material contracts, and non-ordinary course changes to compensation arrangements, in each case without the consent of Unilever. These restrictions may prevent us from pursuing business opportunities or taking actions with respect to our business that we would otherwise consider advisable, and may adversely affect our ability to attract and retain key employees prior to the closing of the proposed transaction. Any of these factors could adversely affect our business, operating results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realize the benefits expected from the proposed transaction could adversely affect our business, operating results and financial condition.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anticipated benefits we expect from the proposed transaction are based on projections and assumptions about our combined business with Unilever Foods, which may not materialize as expected or which may prove to be inaccurate. We may encounter risks, costs and expenses associated with any undisclosed or other unanticipated liabilities and use more cash and other financial resources on integration and implementation activities than we expect, including as a result of any adjustments to the terms of the proposed transaction and any changes to the configuration of the businesses included in the separation. Our business, operating results and financial condition could be adversely affected if we are unable to realize the anticipated benefits from the proposed transaction on a timely basis, if at all, including, among other things, realizing the anticipated synergies from the proposed transaction in the anticipated amounts or within the anticipated timeframes or cost expectations, if at all. Achieving the benefits of the proposed transaction will depend, in part, on our ability to integrate the business and operations of Unilever Foods successfully and efficiently with our business. The challenges involved in this integration, which may be complex and time-consuming, include, among others, the following:</w:t>
      </w:r>
    </w:p>
    <w:p>
      <w:pPr>
        <w:spacing w:after="0" w:line="13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customer and supplier and other important relationships of Unilever Foods and attracting new business and operational relationships;</w:t>
      </w:r>
    </w:p>
    <w:p>
      <w:pPr>
        <w:spacing w:after="0" w:line="27" w:lineRule="exact"/>
        <w:rPr>
          <w:rFonts w:ascii="Times New Roman" w:cs="Times New Roman" w:eastAsia="Times New Roman" w:hAnsi="Times New Roman"/>
          <w:sz w:val="18"/>
          <w:szCs w:val="18"/>
          <w:color w:val="auto"/>
        </w:rPr>
      </w:pPr>
    </w:p>
    <w:p>
      <w:pPr>
        <w:ind w:left="660" w:right="80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independent research and development and commercial teams across product platforms to enhance product development while reducing costs;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forecasting and controls, procedures and reporting cycles;</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and integrating corporate, IT, finance and administrative infrastructures, including addressing the possibility of incompatibility between the two companies’ information technology systems;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and marketing efforts to effectively position the combined company’s capabilities and the direction of product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Unilever Foods’ operations and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that we will have to counterparties of Unilever Foods that arise as a result of the change in control of Unilever Foods;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related HR systems and benefits, maintaining employee productivity and retaining key employees;</w:t>
      </w:r>
    </w:p>
    <w:p>
      <w:pPr>
        <w:spacing w:after="0" w:line="9" w:lineRule="exact"/>
        <w:rPr>
          <w:rFonts w:ascii="Times New Roman" w:cs="Times New Roman" w:eastAsia="Times New Roman" w:hAnsi="Times New Roman"/>
          <w:sz w:val="18"/>
          <w:szCs w:val="18"/>
          <w:color w:val="auto"/>
        </w:rPr>
      </w:pPr>
    </w:p>
    <w:p>
      <w:pPr>
        <w:ind w:left="660" w:right="94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harmonizing standards, controls, procedures, accounting policies, compensation structures and corporate cultures across the combined organization;</w:t>
      </w:r>
    </w:p>
    <w:p>
      <w:pPr>
        <w:ind w:left="660" w:right="58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regulatory, quality, safety and sustainability practices across the combined organization, including with respect to Unilever Foods’ international operations; and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contingent and unknown liabilities of Unilever Foods, including those that may not have been identified during due diligence.</w:t>
      </w:r>
    </w:p>
    <w:p>
      <w:pPr>
        <w:spacing w:after="0" w:line="17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If we do not successfully manage these issues and the other challenges inherent in integrating an acquired business, then we may not achieve the anticipated benefits of the proposed transaction on our anticipated timeframe, if at all, and additional integration costs may dilute the earnings per share of the combined company, and our business, revenue, expenses, operating results, financial condition and stock price could be materially adversely affected. The successful completion of the proposed transaction and the integration of the Unilever Foods business will require significant management attention both before and after the completion of the proposed transaction, and may divert the attention of management from our normal business operations.</w:t>
      </w:r>
    </w:p>
    <w:p>
      <w:pPr>
        <w:spacing w:after="0" w:line="1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proposed transaction, we anticipate that the scope and size of our operations and business will substantially change and will result in certain incremental risks to us, including increased competition.</w:t>
      </w:r>
    </w:p>
    <w:p>
      <w:pPr>
        <w:spacing w:after="0" w:line="1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anticipate that the proposed transaction will substantially expand the scope and size of our business by adding substantial assets and operations to our existing business. The anticipated future growth of our business will impose significant added responsibilities on management, including, among other things, the need to identify, recruit, train and integrate additional employees. Our senior management’s attention may be diverted from the management of our business and its daily operations to the completion of the proposed transaction and the integration of the assets acquired in the proposed transaction. Further, the proposed transaction could also create uncertainty for our or Unilever Foods’ employees and customers, particularly during the post-closing integration process. It could also disrupt existing business relationships, make it more difficult to develop new business relationships, or otherwise negatively impact the way that we operate our business.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anticipate that the proposed transaction will result in increased competition. We and Unilever Foods operate in a highly competitive food industry and competition in our combined product categories is based on price, product innovation, product quality, brand recognition and loyalty, effectiveness of marketing and promotional activity, and the ability to identify and satisfy consumer preferences. Weak economic conditions, recessions, significant inflation and other factors could further intensify these competitive pressures, and may result in decreased sales volumes, price reductions and/or increased operating costs, and could result in lower revenues, margins and net income for the combined company. These impacts could also result in our failure to realize expected synergies or cost savings as a result of the proposed transaction. The proposed transaction could increase the competition we face in certain categories and regions.</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the completion of the proposed transaction may heighten the potential adverse effects on our business, operating results or financial condition described elsewhere in the Risk Factors in this Quarterly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significant debt may limit our financial flexibility following the proposed transaction.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to incur a substantial amount of debt in connection with the proposed transaction and have entered into the Bridge Commitment Letter and the Term Loan Agreement for the purpose of financing all or a portion of the cash consideration to be paid in the proposed transaction and paying related fees and expenses in connection with the proposed transaction and the other transactions contemplated by the Merger Agreement. We anticipate replacing some or all of the Bridge Facility commitments on or prior to closing with Permanent Financing. See "Debt and Credit Facilities" in the notes to our accompanying condensed consolidated financial statements included in Part I, Item 1 of this Quarterly Report on Form 10-Q for additional information. In addition to direct transaction costs, we expect to incur substantial transition and integration-related costs following the closing of the proposed transaction, the incurrence of which, together with additional indebtedness, could adversely affect our credit rating, cash flows, operating results, and ability to return capital to shareholders.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obtain and the terms of the Permanent Financing will depend on, among other factors, prevailing market conditions and other factors beyond our control. There can be no assurance that we will be able to obtain the Permanent Financing on terms acceptable to us or at all, in which case we may need to draw on the Bridge Facility to fund the cash consideration and related fees and expenses at closing of the proposed transaction. Our obligation to complete the proposed transaction is not conditioned upon the receipt of any financing.</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Following the proposed transaction, the substantial indebtedness incurred in connection with the proposed transaction could have adverse effects on our business, operating results and financial condition, including, among other things:</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changing economic, regulatory and industry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compete and our flexibility in planning for, or reacting to, changes in our business and the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with less indebtedness;</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9" w:right="419" w:bottom="1440" w:gutter="0" w:footer="0" w:header="0"/>
        </w:sectPr>
      </w:pPr>
    </w:p>
    <w:bookmarkStart w:id="49" w:name="page50"/>
    <w:bookmarkEnd w:id="49"/>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right="1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interest expense and potentially requiring us to dedicate a substantial portion of our cash flow from operations to payments on our debt, thereby reducing the availability of cash to fund our business needs;</w:t>
      </w:r>
    </w:p>
    <w:p>
      <w:pPr>
        <w:ind w:left="660" w:right="18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in the future to fund growth, acquisitions, working capital, capital expenditures or other purposes; and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pursue other strategic opportunities or acquisitions that might otherwise be beneficial to us and our shareholders.</w:t>
      </w:r>
    </w:p>
    <w:p>
      <w:pPr>
        <w:spacing w:after="0" w:line="2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following the proposed transaction will depend on, among other factors, our financial position and performance as well as prevailing market conditions and other factors beyond our control. Our combined business may not generate cash flow from operations in the future sufficient to service our debt and make necessary capital expenditures and meet other liquidity needs. If we are unable to generate such cash flow, we may be required to adopt one or more alternatives, such as selling assets, restructuring debt or obtaining additional equity capital or debt refinancing on terms less favorable to us than our existing indebtedness. In the event we are unable to complete any of the foregoing, we may default on our debt obligations which, if not cured or waived, could accelerate the repayment obligations under all of our outstanding debt, which could have a material adverse effect on our business, operating results or financial condition. See also "Increases in interest rates or changes in our credit ratings may negatively impact us" and "Our credit ratings impact the cost and availability of future borrowings and, accordingly, our cost of capital" in Part I, Item 1A (Risk Factors) to our Annual Report on Form 10-K for the fiscal year ended November 30, 2025.</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the level and quality of our earnings, operations, business and management, among other things, will impact the determination of our credit ratings by credit rating agencies. A decrease in the ratings assigned to us may negatively impact our access to the debt capital markets and increase our cost of borrowing. There can be no assurance that we will be able to obtain any future required financing on acceptable terms, if at all. In addition, there can be no assurance that we will be able to maintain the current credit worthiness or prospective credit rating of the combined company. Any actual or anticipated changes, or adverse conditions in the debt capital markets, could:</w:t>
      </w:r>
    </w:p>
    <w:p>
      <w:pPr>
        <w:spacing w:after="0" w:line="12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trading price of, or market for, our debt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interest expense under our existing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and adversely affect our ability to refinance, our existing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ability to raise additional debt.</w:t>
      </w:r>
    </w:p>
    <w:p>
      <w:pPr>
        <w:spacing w:after="0" w:line="14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of our common stock in connection with the proposed transaction will dilute the ownership interests of our existing shareholders. Investors holding our shares prior to the completion of proposed transaction will, in the aggregate, have a significantly reduced ownership and voting interest in the combined company after the proposed transaction and will exercise less influence over management.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of the proposed transaction, and subject to Unilever not electing to dispose of its interest in the combined company under the Merger Agreement, our existing shareholders are expected to own approximately 35.0% of the combined company, with current Unilever shareholders expected to own approximately 55.1% and Unilever retaining up to approximately 9.9%, subject to a one-year lock-up period. This significant dilution in ownership will reduce the ability of holders of our voting securities to influence our management and policies after closing of the proposed transaction, and could have an adverse effect on the trading price of our securities.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May 31, 2026, we did not purchase any of our Common Stock (CS) and Common Stock Non-Voting (CSNV).</w:t>
      </w:r>
    </w:p>
    <w:p>
      <w:pPr>
        <w:spacing w:after="0" w:line="15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As of May 31, 2026, approximately $403 million remained of the $600 million share repurchase authorization approved by the Board of Directors in November 2019. The timing and amount of any shares repurchased is determined by our management based on its evaluation of market conditions and other factors.</w:t>
      </w:r>
    </w:p>
    <w:p>
      <w:pPr>
        <w:spacing w:after="0" w:line="11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certain circumstances, we issue shares of CS in exchange for shares of CSNV, or issue shares of CSNV in exchange for shares of CS, in either case pursuant to the exemption from registration provided by Section 3(a)(9) of the Securities Act of 1933, as amended. Typically, these exchanges are made in connection with the administration of our employee benefit plans, executive compensation programs and dividend reinvestment/direct purchase plans or at the request of holders of common stock. The number of shares issued in an exchange is generally equal to the number of shares received in the exchange, although the number may differ slightly to the extent necessary to comply with the requirements of the Employee Retirement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0" w:name="page51"/>
    <w:bookmarkEnd w:id="50"/>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Income Security Act of 1974. During the second quarter of 2026, we issued 118,280 shares of CSNV in exchange for shares of CS and issued 6,341 shares of CS in exchange for shares of CSNV.</w:t>
      </w:r>
    </w:p>
    <w:p>
      <w:pPr>
        <w:spacing w:after="0" w:line="200" w:lineRule="exact"/>
        <w:rPr>
          <w:sz w:val="20"/>
          <w:szCs w:val="20"/>
          <w:color w:val="auto"/>
        </w:rPr>
      </w:pPr>
    </w:p>
    <w:p>
      <w:pPr>
        <w:spacing w:after="0" w:line="3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Compensatory Arrangements of Certain Officers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June 22, 2026, the Compensation and Human Capital Committee of the Company’s Board of Directors determined that, subject to the consummation of the transactions under the Merger Agreement, in the event that one of the Company’s named executive officers is terminated by the Company other than for cause or the named executive officer resigns for good reason (each as defined in the Company’s Severance Plan for Executives (the “Severance Plan”)) during the period beginning six months before the Closing Date and ending two years after the Closing Date, the named executive officer will, subject to the terms and conditions in Section 4.1 of the Severance Plan, be entitled to the benefits under Sections 4.2(a)(2), 4.5(b), 4.6, 4.7(b) and 4.8 of the Severance Plan in lieu of the benefits under Sections 4.2(a)(1), 4.5(a) and 4.7(a) of the Severance Plan.</w:t>
      </w:r>
    </w:p>
    <w:p>
      <w:pPr>
        <w:spacing w:after="0" w:line="19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In addition, on June 24, 2026, each of the Company’s named executive officers (other than Mr. Foley) entered into a retention award agreement providing for a special one-time cash retention award of $1,000,000, 50% of which will vest on the Closing Date and 50% of which will vest on the six-month anniversary of the Closing Date, subject to the named executive officer’s continued employment through each such vesting date. If the named executive officer’s employment is terminated due to his or her death or disability, or following the Closing Date by the Company other than for cause, subject to an effective release of claims, the unvested portion of the retention award will fully vest and become payable.</w:t>
      </w:r>
    </w:p>
    <w:p>
      <w:pPr>
        <w:spacing w:after="0" w:line="21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 foregoing description of the Severance Plan determination is qualified in its entirety by reference to the terms of the Severance Plan, which is filed as Exhibit 10(xix) to the Company’s Quarterly Report on Form 10-Q for the quarter ended February 28, 2015, and the description of the retention awards is qualified in its entirety by reference to the terms of the form of retention award agreement, which will be filed as an exhibit to the Company’s Quarterly Report on Form 10-Q for the fiscal quarter ending August 31,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disclosure is intended to satisfy the requirements of Item 5.02(e) of Form 8-K.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1" w:name="page52"/>
    <w:bookmarkEnd w:id="51"/>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attached or incorporated herein by reference:</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6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Exhibit Number</w:t>
            </w:r>
          </w:p>
        </w:tc>
        <w:tc>
          <w:tcPr>
            <w:tcW w:w="4560" w:type="dxa"/>
            <w:vAlign w:val="bottom"/>
            <w:gridSpan w:val="3"/>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2"/>
        </w:trPr>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5"/>
              </w:rPr>
              <w:t>(2)</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9020" w:type="dxa"/>
            <w:vAlign w:val="bottom"/>
            <w:gridSpan w:val="4"/>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Agreement and Plan of Merger, dated March 31, 2026, by and among Unilever PLC, Unilever Alpha HoldCo B.V., Sandman</w:t>
              </w:r>
            </w:hyperlink>
          </w:p>
        </w:tc>
      </w:tr>
      <w:tr>
        <w:trPr>
          <w:trHeight w:val="155"/>
        </w:trPr>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Corporation, McCormick &amp; Company, Incorporated, Morpheus Merger Sub I Corp. and Morpheus Merger Sub II, LLC,</w:t>
              </w:r>
            </w:hyperlink>
          </w:p>
        </w:tc>
        <w:tc>
          <w:tcPr>
            <w:tcW w:w="20" w:type="dxa"/>
            <w:vAlign w:val="bottom"/>
          </w:tcPr>
          <w:p>
            <w:pPr>
              <w:spacing w:after="0"/>
              <w:rPr>
                <w:sz w:val="13"/>
                <w:szCs w:val="13"/>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60" w:type="dxa"/>
            <w:vAlign w:val="bottom"/>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780" w:right="20"/>
        <w:spacing w:after="0" w:line="226"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incorporated by reference from Exhibit 2.1 of McCormick's Form 8-K/A, as amended, dated March 31, 2026, File No. 1-14920, as</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filed with the Securities and Exchange Commission on April 6, 2026.</w:t>
        </w:r>
      </w:hyperlink>
    </w:p>
    <w:p>
      <w:pPr>
        <w:spacing w:after="0" w:line="2" w:lineRule="exact"/>
        <w:rPr>
          <w:sz w:val="20"/>
          <w:szCs w:val="20"/>
          <w:color w:val="auto"/>
        </w:rPr>
      </w:pPr>
    </w:p>
    <w:p>
      <w:pPr>
        <w:ind w:left="1780" w:right="140" w:hanging="1012"/>
        <w:spacing w:after="0" w:line="223" w:lineRule="auto"/>
        <w:tabs>
          <w:tab w:leader="none" w:pos="1780" w:val="left"/>
        </w:tabs>
        <w:numPr>
          <w:ilvl w:val="0"/>
          <w:numId w:val="18"/>
        </w:numPr>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Separation and Distribution Agreement, dated as of March 31, 2026, by and among Unilever PLC, Unilever Alpha HoldCo B.V.,</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Sandman Corporation and McCormick &amp; Company, Incorporated, incorporated by reference from Exhibit 2.2 of McCormick's</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Form 8-K/A, as amended, dated March 31, 2026, File No. 1-14920, as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April 6, 2026.</w:t>
        </w:r>
      </w:hyperlink>
    </w:p>
    <w:p>
      <w:pPr>
        <w:ind w:left="1780" w:right="160" w:hanging="1012"/>
        <w:spacing w:after="0" w:line="229" w:lineRule="auto"/>
        <w:tabs>
          <w:tab w:leader="none" w:pos="1780" w:val="left"/>
        </w:tabs>
        <w:numPr>
          <w:ilvl w:val="0"/>
          <w:numId w:val="18"/>
        </w:numPr>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Term Loan Agreement, dated April 28, 2026, by and among McCormick, as borrower, the lenders party thereto and Citibank,</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N.A., as administrative agent for the lenders, incorporated by reference from Exhibit 2.1 of McCormick’s Form 8-K, dated April</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28, 2026, File No. 1-14920, as filed with the Securities and Exchange Commission on May 1, 2026.</w:t>
        </w:r>
      </w:hyperlink>
    </w:p>
    <w:p>
      <w:pPr>
        <w:spacing w:after="0" w:line="2" w:lineRule="exact"/>
        <w:rPr>
          <w:rFonts w:ascii="Times New Roman" w:cs="Times New Roman" w:eastAsia="Times New Roman" w:hAnsi="Times New Roman"/>
          <w:sz w:val="18"/>
          <w:szCs w:val="18"/>
          <w:u w:val="single" w:color="auto"/>
          <w:color w:val="0000FF"/>
        </w:rPr>
      </w:pPr>
    </w:p>
    <w:tbl>
      <w:tblPr>
        <w:tblLayout w:type="fixed"/>
        <w:tblInd w:w="80" w:type="dxa"/>
        <w:tblCellMar>
          <w:top w:w="0" w:type="dxa"/>
          <w:left w:w="0" w:type="dxa"/>
          <w:bottom w:w="0" w:type="dxa"/>
          <w:right w:w="0" w:type="dxa"/>
        </w:tblCellMar>
      </w:tblPr>
      <w:tr>
        <w:trPr>
          <w:trHeight w:val="225"/>
        </w:trPr>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5"/>
              </w:rPr>
              <w:t>(3)</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4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Articles of Incorporation and By-Laws</w:t>
            </w:r>
          </w:p>
        </w:tc>
        <w:tc>
          <w:tcPr>
            <w:tcW w:w="5160" w:type="dxa"/>
            <w:vAlign w:val="bottom"/>
          </w:tcPr>
          <w:p>
            <w:pPr>
              <w:spacing w:after="0"/>
              <w:rPr>
                <w:sz w:val="19"/>
                <w:szCs w:val="19"/>
                <w:color w:val="auto"/>
              </w:rPr>
            </w:pPr>
          </w:p>
        </w:tc>
      </w:tr>
      <w:tr>
        <w:trPr>
          <w:trHeight w:val="180"/>
        </w:trPr>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2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Restatement of Charter of McCormick &amp; Company,</w:t>
            </w:r>
          </w:p>
        </w:tc>
        <w:tc>
          <w:tcPr>
            <w:tcW w:w="516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w w:val="99"/>
              </w:rPr>
              <w:t>Incorporated by reference from Exhibit 4 of Registration Form S-</w:t>
            </w:r>
          </w:p>
        </w:tc>
      </w:tr>
      <w:tr>
        <w:trPr>
          <w:trHeight w:val="204"/>
        </w:trPr>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20" w:type="dxa"/>
            <w:vAlign w:val="bottom"/>
          </w:tcPr>
          <w:p>
            <w:pPr>
              <w:ind w:left="420"/>
              <w:spacing w:after="0" w:line="204" w:lineRule="exact"/>
              <w:rPr>
                <w:sz w:val="20"/>
                <w:szCs w:val="20"/>
                <w:color w:val="auto"/>
              </w:rPr>
            </w:pPr>
            <w:r>
              <w:rPr>
                <w:rFonts w:ascii="Times New Roman" w:cs="Times New Roman" w:eastAsia="Times New Roman" w:hAnsi="Times New Roman"/>
                <w:sz w:val="18"/>
                <w:szCs w:val="18"/>
                <w:color w:val="auto"/>
              </w:rPr>
              <w:t>Incorporated dated April 16, 1990</w:t>
            </w:r>
          </w:p>
        </w:tc>
        <w:tc>
          <w:tcPr>
            <w:tcW w:w="5160" w:type="dxa"/>
            <w:vAlign w:val="bottom"/>
          </w:tcPr>
          <w:p>
            <w:pPr>
              <w:ind w:left="440"/>
              <w:spacing w:after="0" w:line="204" w:lineRule="exact"/>
              <w:rPr>
                <w:sz w:val="20"/>
                <w:szCs w:val="20"/>
                <w:color w:val="auto"/>
              </w:rPr>
            </w:pPr>
            <w:r>
              <w:rPr>
                <w:rFonts w:ascii="Times New Roman" w:cs="Times New Roman" w:eastAsia="Times New Roman" w:hAnsi="Times New Roman"/>
                <w:sz w:val="18"/>
                <w:szCs w:val="18"/>
                <w:color w:val="auto"/>
              </w:rPr>
              <w:t>8, Registration No. 33-39582 as filed with the Securities and</w:t>
            </w:r>
          </w:p>
        </w:tc>
      </w:tr>
    </w:tbl>
    <w:p>
      <w:pPr>
        <w:ind w:left="6420"/>
        <w:spacing w:after="0"/>
        <w:rPr>
          <w:sz w:val="20"/>
          <w:szCs w:val="20"/>
          <w:color w:val="auto"/>
        </w:rPr>
      </w:pPr>
      <w:r>
        <w:rPr>
          <w:rFonts w:ascii="Times New Roman" w:cs="Times New Roman" w:eastAsia="Times New Roman" w:hAnsi="Times New Roman"/>
          <w:sz w:val="18"/>
          <w:szCs w:val="18"/>
          <w:color w:val="auto"/>
        </w:rPr>
        <w:t>Exchange Commission on March 25, 1991.</w:t>
      </w:r>
    </w:p>
    <w:p>
      <w:pPr>
        <w:sectPr>
          <w:pgSz w:w="11900" w:h="16838" w:orient="portrait"/>
          <w:cols w:equalWidth="0" w:num="1">
            <w:col w:w="11200"/>
          </w:cols>
          <w:pgMar w:left="320" w:top="279" w:right="379" w:bottom="1440" w:gutter="0" w:footer="0" w:header="0"/>
        </w:sectPr>
      </w:pPr>
    </w:p>
    <w:p>
      <w:pPr>
        <w:spacing w:after="0" w:line="7" w:lineRule="exact"/>
        <w:rPr>
          <w:rFonts w:ascii="Times New Roman" w:cs="Times New Roman" w:eastAsia="Times New Roman" w:hAnsi="Times New Roman"/>
          <w:sz w:val="18"/>
          <w:szCs w:val="18"/>
          <w:u w:val="single" w:color="auto"/>
          <w:color w:val="0000FF"/>
        </w:rPr>
      </w:pPr>
    </w:p>
    <w:p>
      <w:pPr>
        <w:ind w:left="1780" w:right="160"/>
        <w:spacing w:after="0" w:line="234" w:lineRule="auto"/>
        <w:rPr>
          <w:sz w:val="20"/>
          <w:szCs w:val="20"/>
          <w:color w:val="auto"/>
        </w:rPr>
      </w:pPr>
      <w:r>
        <w:rPr>
          <w:rFonts w:ascii="Times New Roman" w:cs="Times New Roman" w:eastAsia="Times New Roman" w:hAnsi="Times New Roman"/>
          <w:sz w:val="18"/>
          <w:szCs w:val="18"/>
          <w:color w:val="auto"/>
        </w:rPr>
        <w:t>Articles of Amendment to Charter of McCormick &amp; Company, Incorporated dated April 1, 1992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
        <w:spacing w:after="0" w:line="220" w:lineRule="auto"/>
        <w:rPr>
          <w:sz w:val="20"/>
          <w:szCs w:val="20"/>
          <w:color w:val="auto"/>
        </w:rPr>
      </w:pPr>
      <w:r>
        <w:rPr>
          <w:rFonts w:ascii="Times New Roman" w:cs="Times New Roman" w:eastAsia="Times New Roman" w:hAnsi="Times New Roman"/>
          <w:sz w:val="18"/>
          <w:szCs w:val="18"/>
          <w:color w:val="auto"/>
        </w:rPr>
        <w:t>Incorporated by reference from Exhibit 4 of Registration Form S-8, Registration Statement No. 33-59842 as filed with the</w:t>
      </w:r>
    </w:p>
    <w:p>
      <w:pPr>
        <w:spacing w:after="0"/>
        <w:rPr>
          <w:sz w:val="20"/>
          <w:szCs w:val="20"/>
          <w:color w:val="auto"/>
        </w:rPr>
      </w:pPr>
      <w:r>
        <w:rPr>
          <w:rFonts w:ascii="Times New Roman" w:cs="Times New Roman" w:eastAsia="Times New Roman" w:hAnsi="Times New Roman"/>
          <w:sz w:val="18"/>
          <w:szCs w:val="18"/>
          <w:color w:val="auto"/>
        </w:rPr>
        <w:t>Securities and Exchange Commission on March 19, 1993.</w:t>
      </w:r>
    </w:p>
    <w:p>
      <w:pPr>
        <w:spacing w:after="0" w:line="7"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700" w:space="720"/>
            <w:col w:w="4780"/>
          </w:cols>
          <w:pgMar w:left="320" w:top="279" w:right="379" w:bottom="1440" w:gutter="0" w:footer="0" w:header="0"/>
          <w:type w:val="continuous"/>
        </w:sectPr>
      </w:pPr>
    </w:p>
    <w:p>
      <w:pPr>
        <w:ind w:left="1780" w:right="160"/>
        <w:spacing w:after="0" w:line="234" w:lineRule="auto"/>
        <w:rPr>
          <w:sz w:val="20"/>
          <w:szCs w:val="20"/>
          <w:color w:val="auto"/>
        </w:rPr>
      </w:pPr>
      <w:r>
        <w:rPr>
          <w:rFonts w:ascii="Times New Roman" w:cs="Times New Roman" w:eastAsia="Times New Roman" w:hAnsi="Times New Roman"/>
          <w:sz w:val="18"/>
          <w:szCs w:val="18"/>
          <w:color w:val="auto"/>
        </w:rPr>
        <w:t>Articles of Amendment to Charter of McCormick &amp; Company, Incorporated dated March 27, 2003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
        <w:spacing w:after="0" w:line="220"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Incorporated by reference from Exhibit 4 of Registration Form S-</w:t>
        </w:r>
      </w:hyperlink>
      <w:hyperlink r:id="rId74">
        <w:r>
          <w:rPr>
            <w:rFonts w:ascii="Times New Roman" w:cs="Times New Roman" w:eastAsia="Times New Roman" w:hAnsi="Times New Roman"/>
            <w:sz w:val="18"/>
            <w:szCs w:val="18"/>
            <w:u w:val="single" w:color="auto"/>
            <w:color w:val="0000FF"/>
          </w:rPr>
          <w:t>8, Registration Statement No. 333-104084 as filed with the</w:t>
        </w:r>
      </w:hyperlink>
    </w:p>
    <w:p>
      <w:pPr>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Securities and Exchange Commission on March 28, 2003.</w:t>
        </w:r>
      </w:hyperlink>
    </w:p>
    <w:p>
      <w:pPr>
        <w:spacing w:after="0" w:line="7" w:lineRule="exact"/>
        <w:rPr>
          <w:sz w:val="20"/>
          <w:szCs w:val="20"/>
          <w:color w:val="auto"/>
        </w:rPr>
      </w:pPr>
    </w:p>
    <w:p>
      <w:pPr>
        <w:sectPr>
          <w:pgSz w:w="11900" w:h="16838" w:orient="portrait"/>
          <w:cols w:equalWidth="0" w:num="2">
            <w:col w:w="5700" w:space="720"/>
            <w:col w:w="4780"/>
          </w:cols>
          <w:pgMar w:left="320" w:top="279" w:right="379" w:bottom="1440" w:gutter="0" w:footer="0" w:header="0"/>
          <w:type w:val="continuous"/>
        </w:sectPr>
      </w:pPr>
    </w:p>
    <w:p>
      <w:pPr>
        <w:ind w:left="1780" w:right="680"/>
        <w:spacing w:after="0" w:line="234" w:lineRule="auto"/>
        <w:rPr>
          <w:sz w:val="20"/>
          <w:szCs w:val="20"/>
          <w:color w:val="auto"/>
        </w:rPr>
      </w:pPr>
      <w:r>
        <w:rPr>
          <w:rFonts w:ascii="Times New Roman" w:cs="Times New Roman" w:eastAsia="Times New Roman" w:hAnsi="Times New Roman"/>
          <w:sz w:val="18"/>
          <w:szCs w:val="18"/>
          <w:color w:val="auto"/>
        </w:rPr>
        <w:t>Articles of Amendment to Charter of McCormick &amp; Company, Incorporated dated April 2, 2021</w:t>
      </w:r>
    </w:p>
    <w:p>
      <w:pPr>
        <w:spacing w:after="0" w:line="361" w:lineRule="exact"/>
        <w:rPr>
          <w:sz w:val="20"/>
          <w:szCs w:val="20"/>
          <w:color w:val="auto"/>
        </w:rPr>
      </w:pPr>
    </w:p>
    <w:p>
      <w:pPr>
        <w:ind w:left="1780" w:hanging="1012"/>
        <w:spacing w:after="0"/>
        <w:tabs>
          <w:tab w:leader="none" w:pos="1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w:t>
      </w:r>
    </w:p>
    <w:p>
      <w:pPr>
        <w:spacing w:after="0" w:line="27" w:lineRule="exact"/>
        <w:rPr>
          <w:rFonts w:ascii="Times New Roman" w:cs="Times New Roman" w:eastAsia="Times New Roman" w:hAnsi="Times New Roman"/>
          <w:sz w:val="18"/>
          <w:szCs w:val="18"/>
          <w:color w:val="auto"/>
        </w:rPr>
      </w:pPr>
    </w:p>
    <w:p>
      <w:pPr>
        <w:ind w:left="178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of McCormick &amp; Company, Incorporated Amended and Restated on November 26, 2019</w:t>
      </w:r>
    </w:p>
    <w:p>
      <w:pPr>
        <w:spacing w:after="0" w:line="20" w:lineRule="exact"/>
        <w:rPr>
          <w:sz w:val="20"/>
          <w:szCs w:val="20"/>
          <w:color w:val="auto"/>
        </w:rPr>
      </w:pPr>
      <w:r>
        <w:rPr>
          <w:sz w:val="20"/>
          <w:szCs w:val="20"/>
          <w:color w:val="auto"/>
        </w:rPr>
        <w:br w:type="column"/>
      </w:r>
    </w:p>
    <w:p>
      <w:pPr>
        <w:spacing w:after="0" w:line="233" w:lineRule="auto"/>
        <w:rPr>
          <w:rFonts w:ascii="Times New Roman" w:cs="Times New Roman" w:eastAsia="Times New Roman" w:hAnsi="Times New Roman"/>
          <w:sz w:val="17"/>
          <w:szCs w:val="17"/>
          <w:u w:val="single" w:color="auto"/>
          <w:color w:val="0000FF"/>
        </w:rPr>
      </w:pPr>
      <w:hyperlink r:id="rId75">
        <w:r>
          <w:rPr>
            <w:rFonts w:ascii="Times New Roman" w:cs="Times New Roman" w:eastAsia="Times New Roman" w:hAnsi="Times New Roman"/>
            <w:sz w:val="17"/>
            <w:szCs w:val="17"/>
            <w:u w:val="single" w:color="auto"/>
            <w:color w:val="0000FF"/>
          </w:rPr>
          <w:t>Incorporated by reference from Exhibit 3(i) of McCormick's Form</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10-Q for the quarter ended May 31, 2021, File No. 1-14920, as</w:t>
        </w:r>
      </w:hyperlink>
    </w:p>
    <w:p>
      <w:pPr>
        <w:ind w:right="300"/>
        <w:spacing w:after="0" w:line="22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filed with the Securities and Exchange Commission on July 1,</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2021.</w:t>
        </w:r>
      </w:hyperlink>
    </w:p>
    <w:p>
      <w:pPr>
        <w:spacing w:after="0" w:line="225" w:lineRule="exact"/>
        <w:rPr>
          <w:sz w:val="20"/>
          <w:szCs w:val="20"/>
          <w:color w:val="auto"/>
        </w:rPr>
      </w:pPr>
    </w:p>
    <w:p>
      <w:pPr>
        <w:ind w:right="200"/>
        <w:spacing w:after="0" w:line="222"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Incorporated by reference from Exhibit 99.1 of McCormick's</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Form 8-K dated November 26, 2019, File No. 1-14920, as filed</w:t>
        </w:r>
      </w:hyperlink>
    </w:p>
    <w:p>
      <w:pPr>
        <w:spacing w:after="0" w:line="2"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with the Securities and Exchange Commission on November 26,</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2019.</w:t>
        </w:r>
      </w:hyperlink>
    </w:p>
    <w:p>
      <w:pPr>
        <w:spacing w:after="0" w:line="200" w:lineRule="exact"/>
        <w:rPr>
          <w:sz w:val="20"/>
          <w:szCs w:val="20"/>
          <w:color w:val="auto"/>
        </w:rPr>
      </w:pPr>
    </w:p>
    <w:p>
      <w:pPr>
        <w:sectPr>
          <w:pgSz w:w="11900" w:h="16838" w:orient="portrait"/>
          <w:cols w:equalWidth="0" w:num="2">
            <w:col w:w="6220" w:space="200"/>
            <w:col w:w="4780"/>
          </w:cols>
          <w:pgMar w:left="320" w:top="279" w:right="379" w:bottom="1440" w:gutter="0" w:footer="0" w:header="0"/>
          <w:type w:val="continuous"/>
        </w:sectPr>
      </w:pPr>
    </w:p>
    <w:p>
      <w:pPr>
        <w:spacing w:after="0" w:line="38" w:lineRule="exact"/>
        <w:rPr>
          <w:sz w:val="20"/>
          <w:szCs w:val="20"/>
          <w:color w:val="auto"/>
        </w:rPr>
      </w:pPr>
    </w:p>
    <w:p>
      <w:pPr>
        <w:ind w:left="440" w:hanging="432"/>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 including indentures</w:t>
      </w:r>
    </w:p>
    <w:p>
      <w:pPr>
        <w:spacing w:after="0" w:line="171" w:lineRule="exact"/>
        <w:rPr>
          <w:rFonts w:ascii="Times New Roman" w:cs="Times New Roman" w:eastAsia="Times New Roman" w:hAnsi="Times New Roman"/>
          <w:sz w:val="18"/>
          <w:szCs w:val="18"/>
          <w:color w:val="auto"/>
        </w:rPr>
      </w:pPr>
    </w:p>
    <w:p>
      <w:pPr>
        <w:ind w:left="1940" w:hanging="112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3 (Restatement of Charter and By-Laws)</w:t>
      </w:r>
    </w:p>
    <w:p>
      <w:pPr>
        <w:spacing w:after="0" w:line="171" w:lineRule="exact"/>
        <w:rPr>
          <w:rFonts w:ascii="Times New Roman" w:cs="Times New Roman" w:eastAsia="Times New Roman" w:hAnsi="Times New Roman"/>
          <w:sz w:val="18"/>
          <w:szCs w:val="18"/>
          <w:color w:val="auto"/>
        </w:rPr>
      </w:pPr>
    </w:p>
    <w:p>
      <w:pPr>
        <w:ind w:left="1960" w:right="180" w:hanging="1142"/>
        <w:spacing w:after="0" w:line="312" w:lineRule="auto"/>
        <w:tabs>
          <w:tab w:leader="none" w:pos="1950" w:val="left"/>
        </w:tabs>
        <w:numPr>
          <w:ilvl w:val="1"/>
          <w:numId w:val="20"/>
        </w:numPr>
        <w:rPr>
          <w:rFonts w:ascii="Times New Roman" w:cs="Times New Roman" w:eastAsia="Times New Roman" w:hAnsi="Times New Roman"/>
          <w:sz w:val="17"/>
          <w:szCs w:val="17"/>
          <w:u w:val="single" w:color="auto"/>
          <w:color w:val="0000FF"/>
        </w:rPr>
      </w:pPr>
      <w:hyperlink r:id="rId77">
        <w:r>
          <w:rPr>
            <w:rFonts w:ascii="Times New Roman" w:cs="Times New Roman" w:eastAsia="Times New Roman" w:hAnsi="Times New Roman"/>
            <w:sz w:val="17"/>
            <w:szCs w:val="17"/>
            <w:u w:val="single" w:color="auto"/>
            <w:color w:val="0000FF"/>
          </w:rPr>
          <w:t>Summary of Certain Exchange Rights, incorporated by reference from Exhibit 4.1 of McCormick’s Form 10-Q for the quarter</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ended August 31, 2001, File No. 1-14920, as filed with the Securities and Exchange Commission on October 12, 2001.</w:t>
        </w:r>
      </w:hyperlink>
    </w:p>
    <w:p>
      <w:pPr>
        <w:spacing w:after="0" w:line="85" w:lineRule="exact"/>
        <w:rPr>
          <w:rFonts w:ascii="Times New Roman" w:cs="Times New Roman" w:eastAsia="Times New Roman" w:hAnsi="Times New Roman"/>
          <w:sz w:val="17"/>
          <w:szCs w:val="17"/>
          <w:u w:val="single" w:color="auto"/>
          <w:color w:val="0000FF"/>
        </w:rPr>
      </w:pPr>
    </w:p>
    <w:p>
      <w:pPr>
        <w:jc w:val="both"/>
        <w:ind w:left="1960" w:right="80" w:hanging="1142"/>
        <w:spacing w:after="0" w:line="266" w:lineRule="auto"/>
        <w:tabs>
          <w:tab w:leader="none" w:pos="1960" w:val="left"/>
        </w:tabs>
        <w:numPr>
          <w:ilvl w:val="1"/>
          <w:numId w:val="20"/>
        </w:numPr>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Indenture dated July 8, 2011 between McCormick and U.S. Bank National Association, incorporated by reference from Exhibit</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4.1 of McCormick’s Form 8-K dated July 5, 2011, File No. 1-14920, as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July 8, 2011.</w:t>
        </w:r>
      </w:hyperlink>
    </w:p>
    <w:p>
      <w:pPr>
        <w:spacing w:after="0" w:line="121" w:lineRule="exact"/>
        <w:rPr>
          <w:rFonts w:ascii="Times New Roman" w:cs="Times New Roman" w:eastAsia="Times New Roman" w:hAnsi="Times New Roman"/>
          <w:sz w:val="18"/>
          <w:szCs w:val="18"/>
          <w:u w:val="single" w:color="auto"/>
          <w:color w:val="0000FF"/>
        </w:rPr>
      </w:pPr>
    </w:p>
    <w:p>
      <w:pPr>
        <w:ind w:left="1960" w:right="200" w:hanging="1142"/>
        <w:spacing w:after="0" w:line="282" w:lineRule="auto"/>
        <w:tabs>
          <w:tab w:leader="none" w:pos="1950" w:val="left"/>
        </w:tabs>
        <w:numPr>
          <w:ilvl w:val="1"/>
          <w:numId w:val="20"/>
        </w:numPr>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Form of 3.40% Notes due 2027, incorporated by reference from Exhibit 4.4 of McCormick’s Form 8-K dated August 7, 2017,</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File No. 1-14920, as filed with the Securities and Exchange Commission on August 11, 2017.</w:t>
        </w:r>
      </w:hyperlink>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type w:val="continuous"/>
        </w:sectPr>
      </w:pPr>
    </w:p>
    <w:bookmarkStart w:id="52" w:name="page53"/>
    <w:bookmarkEnd w:id="52"/>
    <w:p>
      <w:pPr>
        <w:ind w:left="812"/>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52" w:right="220" w:hanging="1142"/>
        <w:spacing w:after="0" w:line="282" w:lineRule="auto"/>
        <w:tabs>
          <w:tab w:leader="none" w:pos="1946" w:val="left"/>
        </w:tabs>
        <w:numPr>
          <w:ilvl w:val="1"/>
          <w:numId w:val="21"/>
        </w:numPr>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Form of 4.20% Notes due 2047, incorporated by reference from Exhibit 4.5 of McCormick’s Form 8-K dated August 7, 2017,</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File No. 1-14920, as filed with the Securities and Exchange Commission on August 11, 2017.</w:t>
        </w:r>
      </w:hyperlink>
    </w:p>
    <w:p>
      <w:pPr>
        <w:spacing w:after="0" w:line="107" w:lineRule="exact"/>
        <w:rPr>
          <w:rFonts w:ascii="Times New Roman" w:cs="Times New Roman" w:eastAsia="Times New Roman" w:hAnsi="Times New Roman"/>
          <w:sz w:val="18"/>
          <w:szCs w:val="18"/>
          <w:u w:val="single" w:color="auto"/>
          <w:color w:val="0000FF"/>
        </w:rPr>
      </w:pPr>
    </w:p>
    <w:p>
      <w:pPr>
        <w:ind w:left="1952" w:right="280" w:hanging="1142"/>
        <w:spacing w:after="0" w:line="282" w:lineRule="auto"/>
        <w:tabs>
          <w:tab w:leader="none" w:pos="1942" w:val="left"/>
        </w:tabs>
        <w:numPr>
          <w:ilvl w:val="1"/>
          <w:numId w:val="21"/>
        </w:numPr>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Form of 2.50% Notes due 2030, incorporated by reference from Exhibit 4.2 of McCormick’s Form 8-K dated April 13, 2020,</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File No. 1-14920, as filed with the Securities and Exchange Commission on April 16, 2020.</w:t>
        </w:r>
      </w:hyperlink>
    </w:p>
    <w:p>
      <w:pPr>
        <w:spacing w:after="0" w:line="107" w:lineRule="exact"/>
        <w:rPr>
          <w:rFonts w:ascii="Times New Roman" w:cs="Times New Roman" w:eastAsia="Times New Roman" w:hAnsi="Times New Roman"/>
          <w:sz w:val="18"/>
          <w:szCs w:val="18"/>
          <w:u w:val="single" w:color="auto"/>
          <w:color w:val="0000FF"/>
        </w:rPr>
      </w:pPr>
    </w:p>
    <w:p>
      <w:pPr>
        <w:ind w:left="1952" w:right="20" w:hanging="1142"/>
        <w:spacing w:after="0" w:line="282" w:lineRule="auto"/>
        <w:tabs>
          <w:tab w:leader="none" w:pos="1951" w:val="left"/>
        </w:tabs>
        <w:numPr>
          <w:ilvl w:val="1"/>
          <w:numId w:val="21"/>
        </w:numPr>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Form of 1.85% Notes due 2031, incorporated by reference from Exhibit 4.3 of McCormick’s Form 8-K dated February 11, 2021,</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File No. 1-14920, as filed with the Securities and Exchange Commission on February 11, 2021.</w:t>
        </w:r>
      </w:hyperlink>
    </w:p>
    <w:p>
      <w:pPr>
        <w:spacing w:after="0" w:line="107" w:lineRule="exact"/>
        <w:rPr>
          <w:rFonts w:ascii="Times New Roman" w:cs="Times New Roman" w:eastAsia="Times New Roman" w:hAnsi="Times New Roman"/>
          <w:sz w:val="18"/>
          <w:szCs w:val="18"/>
          <w:u w:val="single" w:color="auto"/>
          <w:color w:val="0000FF"/>
        </w:rPr>
      </w:pPr>
    </w:p>
    <w:p>
      <w:pPr>
        <w:ind w:left="1952" w:right="60" w:hanging="1142"/>
        <w:spacing w:after="0" w:line="282" w:lineRule="auto"/>
        <w:tabs>
          <w:tab w:leader="none" w:pos="1947" w:val="left"/>
        </w:tabs>
        <w:numPr>
          <w:ilvl w:val="1"/>
          <w:numId w:val="21"/>
        </w:numPr>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Form of 4.95% Notes due 2033, incorporated by reference from Exhibit 4.2 of McCormick's Form 8-K dated April 6, 2023, File</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No. 1-14920, as filed with the Securities and Exchange Commission on April 6, 2023.</w:t>
        </w:r>
      </w:hyperlink>
    </w:p>
    <w:p>
      <w:pPr>
        <w:spacing w:after="0" w:line="107" w:lineRule="exact"/>
        <w:rPr>
          <w:rFonts w:ascii="Times New Roman" w:cs="Times New Roman" w:eastAsia="Times New Roman" w:hAnsi="Times New Roman"/>
          <w:sz w:val="18"/>
          <w:szCs w:val="18"/>
          <w:u w:val="single" w:color="auto"/>
          <w:color w:val="0000FF"/>
        </w:rPr>
      </w:pPr>
    </w:p>
    <w:p>
      <w:pPr>
        <w:ind w:left="1952" w:right="180" w:hanging="1142"/>
        <w:spacing w:after="0" w:line="282" w:lineRule="auto"/>
        <w:tabs>
          <w:tab w:leader="none" w:pos="1942" w:val="left"/>
        </w:tabs>
        <w:numPr>
          <w:ilvl w:val="1"/>
          <w:numId w:val="21"/>
        </w:numPr>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Form of 4.70% Notes due 2034, incorporated by reference from Exhibit 4.2 of McCormick’s Form 8-K dated October 8, 2024,</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File No. 1-14920, as filed with the Securities and Exchange Commission on October 8, 2024.</w:t>
        </w:r>
      </w:hyperlink>
    </w:p>
    <w:p>
      <w:pPr>
        <w:spacing w:after="0" w:line="107" w:lineRule="exact"/>
        <w:rPr>
          <w:rFonts w:ascii="Times New Roman" w:cs="Times New Roman" w:eastAsia="Times New Roman" w:hAnsi="Times New Roman"/>
          <w:sz w:val="18"/>
          <w:szCs w:val="18"/>
          <w:u w:val="single" w:color="auto"/>
          <w:color w:val="0000FF"/>
        </w:rPr>
      </w:pPr>
    </w:p>
    <w:p>
      <w:pPr>
        <w:ind w:left="1952" w:right="100" w:hanging="1142"/>
        <w:spacing w:after="0" w:line="282" w:lineRule="auto"/>
        <w:tabs>
          <w:tab w:leader="none" w:pos="1946" w:val="left"/>
        </w:tabs>
        <w:numPr>
          <w:ilvl w:val="1"/>
          <w:numId w:val="21"/>
        </w:numPr>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Form of 4.15% Notes due 2029, incorporated by reference from Exhibit 4.2 of McCormick’s Form 8-K dated February 3, 2026,</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File No. 1-14920, as filed with the Securities and Exchange Commission on February 5, 2026.</w:t>
        </w:r>
      </w:hyperlink>
    </w:p>
    <w:p>
      <w:pPr>
        <w:spacing w:after="0" w:line="107" w:lineRule="exact"/>
        <w:rPr>
          <w:rFonts w:ascii="Times New Roman" w:cs="Times New Roman" w:eastAsia="Times New Roman" w:hAnsi="Times New Roman"/>
          <w:sz w:val="18"/>
          <w:szCs w:val="18"/>
          <w:u w:val="single" w:color="auto"/>
          <w:color w:val="0000FF"/>
        </w:rPr>
      </w:pPr>
    </w:p>
    <w:p>
      <w:pPr>
        <w:ind w:left="1952" w:right="580" w:hanging="1142"/>
        <w:spacing w:after="0" w:line="266" w:lineRule="auto"/>
        <w:tabs>
          <w:tab w:leader="none" w:pos="1942" w:val="left"/>
        </w:tabs>
        <w:numPr>
          <w:ilvl w:val="1"/>
          <w:numId w:val="21"/>
        </w:numPr>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u w:val="single" w:color="auto"/>
            <w:color w:val="0000FF"/>
          </w:rPr>
          <w:t>Description of Securities of McCormick &amp; Company, Incorporated, incorporated by reference from Exhibit 4(xiii) of</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McCormick's Form 10-K for the fiscal year ended November 30, 2021, File No. 1-14920, as filed with the Securities and</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Exchange Commission on January 27, 2022</w:t>
        </w:r>
        <w:r>
          <w:rPr>
            <w:rFonts w:ascii="Times New Roman" w:cs="Times New Roman" w:eastAsia="Times New Roman" w:hAnsi="Times New Roman"/>
            <w:sz w:val="18"/>
            <w:szCs w:val="18"/>
            <w:color w:val="000000"/>
          </w:rPr>
          <w:t>.</w:t>
        </w:r>
      </w:hyperlink>
    </w:p>
    <w:p>
      <w:pPr>
        <w:spacing w:after="0" w:line="364" w:lineRule="exact"/>
        <w:rPr>
          <w:rFonts w:ascii="Times New Roman" w:cs="Times New Roman" w:eastAsia="Times New Roman" w:hAnsi="Times New Roman"/>
          <w:sz w:val="18"/>
          <w:szCs w:val="18"/>
          <w:color w:val="0000FF"/>
        </w:rPr>
      </w:pPr>
    </w:p>
    <w:p>
      <w:pPr>
        <w:ind w:left="792" w:hanging="792"/>
        <w:spacing w:after="0"/>
        <w:tabs>
          <w:tab w:leader="none" w:pos="7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932" w:hanging="1122"/>
        <w:spacing w:after="0"/>
        <w:tabs>
          <w:tab w:leader="none" w:pos="1932" w:val="left"/>
        </w:tabs>
        <w:numPr>
          <w:ilvl w:val="1"/>
          <w:numId w:val="22"/>
        </w:numPr>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Deferred Compensation Plan, as restated on January 1, 2000, and amended on August 29, 2000, September 5, 2000, and</w:t>
        </w:r>
      </w:hyperlink>
    </w:p>
    <w:p>
      <w:pPr>
        <w:spacing w:after="0" w:line="27" w:lineRule="exact"/>
        <w:rPr>
          <w:rFonts w:ascii="Times New Roman" w:cs="Times New Roman" w:eastAsia="Times New Roman" w:hAnsi="Times New Roman"/>
          <w:sz w:val="18"/>
          <w:szCs w:val="18"/>
          <w:u w:val="single" w:color="auto"/>
          <w:color w:val="0000FF"/>
        </w:rPr>
      </w:pPr>
    </w:p>
    <w:p>
      <w:pPr>
        <w:jc w:val="both"/>
        <w:ind w:left="1952"/>
        <w:spacing w:after="0" w:line="277" w:lineRule="auto"/>
        <w:rPr>
          <w:rFonts w:ascii="Times New Roman" w:cs="Times New Roman" w:eastAsia="Times New Roman" w:hAnsi="Times New Roman"/>
          <w:sz w:val="17"/>
          <w:szCs w:val="17"/>
          <w:u w:val="single" w:color="auto"/>
          <w:color w:val="0000FF"/>
        </w:rPr>
      </w:pPr>
      <w:hyperlink r:id="rId88">
        <w:r>
          <w:rPr>
            <w:rFonts w:ascii="Times New Roman" w:cs="Times New Roman" w:eastAsia="Times New Roman" w:hAnsi="Times New Roman"/>
            <w:sz w:val="17"/>
            <w:szCs w:val="17"/>
            <w:u w:val="single" w:color="auto"/>
            <w:color w:val="0000FF"/>
          </w:rPr>
          <w:t>May 16, 2003, in which directors, officers, and certain other management employees participate, a copy of which Plan document</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and amendments was attached as Exhibit 10(viii) of McCormick’s Form 10-Q for the quarter ended August 31, 2003, File No. 1-</w:t>
        </w:r>
      </w:hyperlink>
      <w:hyperlink r:id="rId88">
        <w:r>
          <w:rPr>
            <w:rFonts w:ascii="Times New Roman" w:cs="Times New Roman" w:eastAsia="Times New Roman" w:hAnsi="Times New Roman"/>
            <w:sz w:val="17"/>
            <w:szCs w:val="17"/>
            <w:u w:val="single" w:color="auto"/>
            <w:color w:val="0000FF"/>
          </w:rPr>
          <w:t>14920, as filed with the Securities and Exchange Commission on October 14, 2003, and incorporated by reference herein.*</w:t>
        </w:r>
      </w:hyperlink>
    </w:p>
    <w:p>
      <w:pPr>
        <w:spacing w:after="0" w:line="114" w:lineRule="exact"/>
        <w:rPr>
          <w:rFonts w:ascii="Times New Roman" w:cs="Times New Roman" w:eastAsia="Times New Roman" w:hAnsi="Times New Roman"/>
          <w:sz w:val="17"/>
          <w:szCs w:val="17"/>
          <w:u w:val="single" w:color="auto"/>
          <w:color w:val="0000FF"/>
        </w:rPr>
      </w:pPr>
    </w:p>
    <w:p>
      <w:pPr>
        <w:ind w:left="1952" w:right="60" w:hanging="1142"/>
        <w:spacing w:after="0" w:line="266" w:lineRule="auto"/>
        <w:tabs>
          <w:tab w:leader="none" w:pos="1942" w:val="left"/>
        </w:tabs>
        <w:numPr>
          <w:ilvl w:val="1"/>
          <w:numId w:val="22"/>
        </w:numPr>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2004 Long-Term Incentive Plan, in which officers and certain other management employees participate, is set forth in Exhibit A</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of McCormick’s definitive Proxy Statement dated February 17, 2004, File No. 1-14920, as filed with the Securities and</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Exchange Commission on February 17, 2004, and incorporated by reference herein.*</w:t>
        </w:r>
      </w:hyperlink>
    </w:p>
    <w:p>
      <w:pPr>
        <w:spacing w:after="0" w:line="121" w:lineRule="exact"/>
        <w:rPr>
          <w:rFonts w:ascii="Times New Roman" w:cs="Times New Roman" w:eastAsia="Times New Roman" w:hAnsi="Times New Roman"/>
          <w:sz w:val="18"/>
          <w:szCs w:val="18"/>
          <w:u w:val="single" w:color="auto"/>
          <w:color w:val="0000FF"/>
        </w:rPr>
      </w:pPr>
    </w:p>
    <w:p>
      <w:pPr>
        <w:ind w:left="1952" w:right="160" w:hanging="1142"/>
        <w:spacing w:after="0" w:line="261" w:lineRule="auto"/>
        <w:tabs>
          <w:tab w:leader="none" w:pos="1952" w:val="left"/>
        </w:tabs>
        <w:numPr>
          <w:ilvl w:val="1"/>
          <w:numId w:val="22"/>
        </w:numPr>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Non-Qualified Retirement Savings Plan, with an effective date of February 1, 2017, in which directors, officers, and certain</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other management employees participate, a copy of which Plan document was attached as Exhibit 10(v) of McCormick's Form</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10-Q for the quarter ended February 28, 2017, File No. 1-14920, as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March 28, 2017, and incorporated by reference herein.*</w:t>
        </w:r>
      </w:hyperlink>
    </w:p>
    <w:p>
      <w:pPr>
        <w:spacing w:after="0" w:line="125" w:lineRule="exact"/>
        <w:rPr>
          <w:rFonts w:ascii="Times New Roman" w:cs="Times New Roman" w:eastAsia="Times New Roman" w:hAnsi="Times New Roman"/>
          <w:sz w:val="18"/>
          <w:szCs w:val="18"/>
          <w:u w:val="single" w:color="auto"/>
          <w:color w:val="0000FF"/>
        </w:rPr>
      </w:pPr>
    </w:p>
    <w:p>
      <w:pPr>
        <w:ind w:left="1952" w:right="60" w:hanging="1142"/>
        <w:spacing w:after="0" w:line="258" w:lineRule="auto"/>
        <w:tabs>
          <w:tab w:leader="none" w:pos="1942" w:val="left"/>
        </w:tabs>
        <w:numPr>
          <w:ilvl w:val="1"/>
          <w:numId w:val="22"/>
        </w:numPr>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The 2007 Omnibus Incentive Plan, in which directors, officers, and certain other management employees participate, is set forth</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in Exhibit A of McCormick’s definitive Proxy Statement dated February 20, 2008, File No. 1-14920, as filed with the Securities</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and Exchange Commission on February 20, 2008, and incorporated by reference herein, as amended by Amendment No. 1</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thereto, which Amendment is incorporated by reference from Exhibit 10(xi) of McCormick’s 10-K for the fiscal year ended</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November 30, 2008, File No. 1-14920, as filed with the Securities and Exchange Commission on January 28, 2009.*</w:t>
        </w:r>
      </w:hyperlink>
    </w:p>
    <w:p>
      <w:pPr>
        <w:spacing w:after="0" w:line="129" w:lineRule="exact"/>
        <w:rPr>
          <w:rFonts w:ascii="Times New Roman" w:cs="Times New Roman" w:eastAsia="Times New Roman" w:hAnsi="Times New Roman"/>
          <w:sz w:val="18"/>
          <w:szCs w:val="18"/>
          <w:u w:val="single" w:color="auto"/>
          <w:color w:val="0000FF"/>
        </w:rPr>
      </w:pPr>
    </w:p>
    <w:p>
      <w:pPr>
        <w:ind w:left="1952" w:right="60" w:hanging="1142"/>
        <w:spacing w:after="0" w:line="266" w:lineRule="auto"/>
        <w:tabs>
          <w:tab w:leader="none" w:pos="1946" w:val="left"/>
        </w:tabs>
        <w:numPr>
          <w:ilvl w:val="1"/>
          <w:numId w:val="22"/>
        </w:numPr>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The Amended and Restated 2013 Omnibus Incentive Plan, in which directors, officers and certain other management employees</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participate, is incorporated by reference from Exhibit A of McCormick's definitive Proxy Statement dated February 14, 2019,</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File No. 1-14920, as filed with the Securities and Exchange Commission on February 14, 2019.*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13" w:lineRule="exact"/>
        <w:rPr>
          <w:rFonts w:ascii="Times New Roman" w:cs="Times New Roman" w:eastAsia="Times New Roman" w:hAnsi="Times New Roman"/>
          <w:sz w:val="18"/>
          <w:szCs w:val="18"/>
          <w:u w:val="single" w:color="auto"/>
          <w:color w:val="0000FF"/>
        </w:rPr>
      </w:pPr>
    </w:p>
    <w:p>
      <w:pPr>
        <w:jc w:val="center"/>
        <w:ind w:right="-11"/>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279" w:right="339" w:bottom="1440" w:gutter="0" w:footer="0" w:header="0"/>
        </w:sectPr>
      </w:pPr>
    </w:p>
    <w:bookmarkStart w:id="53" w:name="page54"/>
    <w:bookmarkEnd w:id="53"/>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60" w:right="420" w:hanging="1142"/>
        <w:spacing w:after="0" w:line="266" w:lineRule="auto"/>
        <w:tabs>
          <w:tab w:leader="none" w:pos="1950" w:val="left"/>
        </w:tabs>
        <w:numPr>
          <w:ilvl w:val="1"/>
          <w:numId w:val="23"/>
        </w:numPr>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The 2022 Omnibus Incentive Plan, in which directors, officers and certain other management employees participate, is</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incorporated by reference from Exhibit A of McCormick’s definitive Proxy Statement dated February 17, 2022, File No. 1-</w:t>
        </w:r>
      </w:hyperlink>
      <w:hyperlink r:id="rId94">
        <w:r>
          <w:rPr>
            <w:rFonts w:ascii="Times New Roman" w:cs="Times New Roman" w:eastAsia="Times New Roman" w:hAnsi="Times New Roman"/>
            <w:sz w:val="18"/>
            <w:szCs w:val="18"/>
            <w:u w:val="single" w:color="auto"/>
            <w:color w:val="0000FF"/>
          </w:rPr>
          <w:t>14920, as filed with the Securities and Exchange Commission on February 17, 2022.*</w:t>
        </w:r>
      </w:hyperlink>
    </w:p>
    <w:p>
      <w:pPr>
        <w:spacing w:after="0" w:line="121" w:lineRule="exact"/>
        <w:rPr>
          <w:rFonts w:ascii="Times New Roman" w:cs="Times New Roman" w:eastAsia="Times New Roman" w:hAnsi="Times New Roman"/>
          <w:sz w:val="18"/>
          <w:szCs w:val="18"/>
          <w:u w:val="single" w:color="auto"/>
          <w:color w:val="0000FF"/>
        </w:rPr>
      </w:pPr>
    </w:p>
    <w:p>
      <w:pPr>
        <w:jc w:val="both"/>
        <w:ind w:left="1960" w:right="100" w:hanging="1142"/>
        <w:spacing w:after="0" w:line="266" w:lineRule="auto"/>
        <w:tabs>
          <w:tab w:leader="none" w:pos="1959" w:val="left"/>
        </w:tabs>
        <w:numPr>
          <w:ilvl w:val="1"/>
          <w:numId w:val="23"/>
        </w:numPr>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Amendment No. 1 to the 2022 Omnibus Incentive Plan is incorporated by reference from Exhibit 10(vii) of McCormick's Form</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10-Q for the quarter ended May 31, 2022, File No. 1-14920, as filed with the Securities and Exchange Commission on June 29,</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2022.*</w:t>
        </w:r>
      </w:hyperlink>
    </w:p>
    <w:p>
      <w:pPr>
        <w:spacing w:after="0" w:line="121" w:lineRule="exact"/>
        <w:rPr>
          <w:rFonts w:ascii="Times New Roman" w:cs="Times New Roman" w:eastAsia="Times New Roman" w:hAnsi="Times New Roman"/>
          <w:sz w:val="18"/>
          <w:szCs w:val="18"/>
          <w:u w:val="single" w:color="auto"/>
          <w:color w:val="0000FF"/>
        </w:rPr>
      </w:pPr>
    </w:p>
    <w:p>
      <w:pPr>
        <w:ind w:left="1960" w:right="180" w:hanging="1142"/>
        <w:spacing w:after="0" w:line="266" w:lineRule="auto"/>
        <w:tabs>
          <w:tab w:leader="none" w:pos="1955" w:val="left"/>
        </w:tabs>
        <w:numPr>
          <w:ilvl w:val="1"/>
          <w:numId w:val="23"/>
        </w:numPr>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Form of Long-Term Performance Plan Agreement, incorporated by reference from Exhibit 10(i) of McCormick's Form 8-K/A,</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as amended, dated March 30, 2022, File No. 1-14920, as filed with the Securities and Exchange Commission on April 5,</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2022.*</w:t>
        </w:r>
      </w:hyperlink>
    </w:p>
    <w:p>
      <w:pPr>
        <w:spacing w:after="0" w:line="121" w:lineRule="exact"/>
        <w:rPr>
          <w:rFonts w:ascii="Times New Roman" w:cs="Times New Roman" w:eastAsia="Times New Roman" w:hAnsi="Times New Roman"/>
          <w:sz w:val="18"/>
          <w:szCs w:val="18"/>
          <w:u w:val="single" w:color="auto"/>
          <w:color w:val="0000FF"/>
        </w:rPr>
      </w:pPr>
    </w:p>
    <w:p>
      <w:pPr>
        <w:ind w:left="1960" w:right="460" w:hanging="1142"/>
        <w:spacing w:after="0" w:line="266" w:lineRule="auto"/>
        <w:tabs>
          <w:tab w:leader="none" w:pos="1950" w:val="left"/>
        </w:tabs>
        <w:numPr>
          <w:ilvl w:val="1"/>
          <w:numId w:val="23"/>
        </w:numPr>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Form of Restricted Stock Units Agreement, incorporated by reference from Exhibit 10(ii) of McCormick's Form 8-K/A, as</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amended, dated March 30, 2022, File No. 1-14920, as filed with the Securities and Exchange Commission on April 5,</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2022.*</w:t>
        </w:r>
      </w:hyperlink>
    </w:p>
    <w:p>
      <w:pPr>
        <w:spacing w:after="0" w:line="121" w:lineRule="exact"/>
        <w:rPr>
          <w:rFonts w:ascii="Times New Roman" w:cs="Times New Roman" w:eastAsia="Times New Roman" w:hAnsi="Times New Roman"/>
          <w:sz w:val="18"/>
          <w:szCs w:val="18"/>
          <w:u w:val="single" w:color="auto"/>
          <w:color w:val="0000FF"/>
        </w:rPr>
      </w:pPr>
    </w:p>
    <w:p>
      <w:pPr>
        <w:ind w:left="1940" w:hanging="1122"/>
        <w:spacing w:after="0"/>
        <w:tabs>
          <w:tab w:leader="none" w:pos="1940" w:val="left"/>
        </w:tabs>
        <w:numPr>
          <w:ilvl w:val="1"/>
          <w:numId w:val="23"/>
        </w:numPr>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Form of Restricted Stock Units Agreement for Directors, incorporated by reference from Exhibit 10(iii) of McCormick's Form</w:t>
        </w:r>
      </w:hyperlink>
    </w:p>
    <w:p>
      <w:pPr>
        <w:spacing w:after="0" w:line="27" w:lineRule="exact"/>
        <w:rPr>
          <w:rFonts w:ascii="Times New Roman" w:cs="Times New Roman" w:eastAsia="Times New Roman" w:hAnsi="Times New Roman"/>
          <w:sz w:val="18"/>
          <w:szCs w:val="18"/>
          <w:u w:val="single" w:color="auto"/>
          <w:color w:val="0000FF"/>
        </w:rPr>
      </w:pPr>
    </w:p>
    <w:p>
      <w:pPr>
        <w:ind w:left="1960" w:right="60"/>
        <w:spacing w:after="0" w:line="260"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8-K/A, as amended, dated March 30, 2022, File No. 1-14920, as filed with the Securities and Exchange Commission on April 5,</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2022.*</w:t>
        </w:r>
      </w:hyperlink>
    </w:p>
    <w:p>
      <w:pPr>
        <w:spacing w:after="0" w:line="127" w:lineRule="exact"/>
        <w:rPr>
          <w:rFonts w:ascii="Times New Roman" w:cs="Times New Roman" w:eastAsia="Times New Roman" w:hAnsi="Times New Roman"/>
          <w:sz w:val="18"/>
          <w:szCs w:val="18"/>
          <w:u w:val="single" w:color="auto"/>
          <w:color w:val="0000FF"/>
        </w:rPr>
      </w:pPr>
    </w:p>
    <w:p>
      <w:pPr>
        <w:ind w:left="1960" w:right="60" w:hanging="1142"/>
        <w:spacing w:after="0" w:line="312" w:lineRule="auto"/>
        <w:tabs>
          <w:tab w:leader="none" w:pos="1950" w:val="left"/>
        </w:tabs>
        <w:numPr>
          <w:ilvl w:val="1"/>
          <w:numId w:val="23"/>
        </w:numPr>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7"/>
            <w:szCs w:val="17"/>
            <w:u w:val="single" w:color="auto"/>
            <w:color w:val="0000FF"/>
          </w:rPr>
          <w:t>Form of Non-Qualified Stock Option Agreement, incorporated by reference from Exhibit 10(iv) of McCormick's Form 8-K/A,</w:t>
        </w:r>
      </w:hyperlink>
      <w:r>
        <w:rPr>
          <w:rFonts w:ascii="Times New Roman" w:cs="Times New Roman" w:eastAsia="Times New Roman" w:hAnsi="Times New Roman"/>
          <w:sz w:val="17"/>
          <w:szCs w:val="17"/>
          <w:u w:val="single" w:color="auto"/>
          <w:color w:val="0000FF"/>
        </w:rPr>
        <w:t xml:space="preserve"> </w:t>
      </w:r>
      <w:hyperlink r:id="rId99">
        <w:r>
          <w:rPr>
            <w:rFonts w:ascii="Times New Roman" w:cs="Times New Roman" w:eastAsia="Times New Roman" w:hAnsi="Times New Roman"/>
            <w:sz w:val="17"/>
            <w:szCs w:val="17"/>
            <w:u w:val="single" w:color="auto"/>
            <w:color w:val="0000FF"/>
          </w:rPr>
          <w:t>as amended, dated March 30, 2022, File No. 1-14920, as filed with the Securities and Exchange Commission on April 5, 2022.*</w:t>
        </w:r>
      </w:hyperlink>
    </w:p>
    <w:p>
      <w:pPr>
        <w:spacing w:after="0" w:line="85" w:lineRule="exact"/>
        <w:rPr>
          <w:rFonts w:ascii="Times New Roman" w:cs="Times New Roman" w:eastAsia="Times New Roman" w:hAnsi="Times New Roman"/>
          <w:sz w:val="17"/>
          <w:szCs w:val="17"/>
          <w:u w:val="single" w:color="auto"/>
          <w:color w:val="0000FF"/>
        </w:rPr>
      </w:pPr>
    </w:p>
    <w:p>
      <w:pPr>
        <w:ind w:left="1960" w:right="60" w:hanging="1142"/>
        <w:spacing w:after="0" w:line="266" w:lineRule="auto"/>
        <w:tabs>
          <w:tab w:leader="none" w:pos="1959" w:val="left"/>
        </w:tabs>
        <w:numPr>
          <w:ilvl w:val="1"/>
          <w:numId w:val="23"/>
        </w:numPr>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Form of Non-Qualified Stock Option Agreement for Directors, incorporated by reference from Exhibit 10(v) of McCormick's</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Form 8-K/A, as amended, March 30, 2022, File No. 1-14920, as filed with the Securities and Exchange Commission on April 5,</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2022.*</w:t>
        </w:r>
      </w:hyperlink>
    </w:p>
    <w:p>
      <w:pPr>
        <w:spacing w:after="0" w:line="121" w:lineRule="exact"/>
        <w:rPr>
          <w:rFonts w:ascii="Times New Roman" w:cs="Times New Roman" w:eastAsia="Times New Roman" w:hAnsi="Times New Roman"/>
          <w:sz w:val="18"/>
          <w:szCs w:val="18"/>
          <w:u w:val="single" w:color="auto"/>
          <w:color w:val="0000FF"/>
        </w:rPr>
      </w:pPr>
    </w:p>
    <w:p>
      <w:pPr>
        <w:ind w:left="1960" w:right="20" w:hanging="1142"/>
        <w:spacing w:after="0" w:line="312" w:lineRule="auto"/>
        <w:tabs>
          <w:tab w:leader="none" w:pos="1955" w:val="left"/>
        </w:tabs>
        <w:numPr>
          <w:ilvl w:val="1"/>
          <w:numId w:val="23"/>
        </w:numPr>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Form of Non-Qualified Stock Option Agreement, incorporated by reference from Exhibit 10(xii) of McCormick's Form 10-Q for</w:t>
        </w:r>
      </w:hyperlink>
      <w:r>
        <w:rPr>
          <w:rFonts w:ascii="Times New Roman" w:cs="Times New Roman" w:eastAsia="Times New Roman" w:hAnsi="Times New Roman"/>
          <w:sz w:val="17"/>
          <w:szCs w:val="17"/>
          <w:u w:val="single" w:color="auto"/>
          <w:color w:val="0000FF"/>
        </w:rPr>
        <w:t xml:space="preserve"> </w:t>
      </w:r>
      <w:hyperlink r:id="rId101">
        <w:r>
          <w:rPr>
            <w:rFonts w:ascii="Times New Roman" w:cs="Times New Roman" w:eastAsia="Times New Roman" w:hAnsi="Times New Roman"/>
            <w:sz w:val="17"/>
            <w:szCs w:val="17"/>
            <w:u w:val="single" w:color="auto"/>
            <w:color w:val="0000FF"/>
          </w:rPr>
          <w:t>the quarter ended May 31, 2024, File No. 1-14920, as filed with the Securities and Exchange Commission on June 27, 2024. *</w:t>
        </w:r>
      </w:hyperlink>
    </w:p>
    <w:p>
      <w:pPr>
        <w:spacing w:after="0" w:line="85" w:lineRule="exact"/>
        <w:rPr>
          <w:rFonts w:ascii="Times New Roman" w:cs="Times New Roman" w:eastAsia="Times New Roman" w:hAnsi="Times New Roman"/>
          <w:sz w:val="17"/>
          <w:szCs w:val="17"/>
          <w:u w:val="single" w:color="auto"/>
          <w:color w:val="0000FF"/>
        </w:rPr>
      </w:pPr>
    </w:p>
    <w:p>
      <w:pPr>
        <w:ind w:left="1960" w:right="100" w:hanging="1142"/>
        <w:spacing w:after="0" w:line="266" w:lineRule="auto"/>
        <w:tabs>
          <w:tab w:leader="none" w:pos="1959" w:val="left"/>
        </w:tabs>
        <w:numPr>
          <w:ilvl w:val="1"/>
          <w:numId w:val="23"/>
        </w:numPr>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Form of Non-Qualified Stock Option Agreement for Directors, incorporated by reference from Exhibit 10(xiv) of McCormick's</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Form 10-Q for the quarter ended May 31, 2024, File No. 1-14920, as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June 27, 2024. *</w:t>
        </w:r>
      </w:hyperlink>
    </w:p>
    <w:p>
      <w:pPr>
        <w:spacing w:after="0" w:line="121" w:lineRule="exact"/>
        <w:rPr>
          <w:rFonts w:ascii="Times New Roman" w:cs="Times New Roman" w:eastAsia="Times New Roman" w:hAnsi="Times New Roman"/>
          <w:sz w:val="18"/>
          <w:szCs w:val="18"/>
          <w:u w:val="single" w:color="auto"/>
          <w:color w:val="0000FF"/>
        </w:rPr>
      </w:pPr>
    </w:p>
    <w:p>
      <w:pPr>
        <w:ind w:left="1960" w:right="100" w:hanging="1142"/>
        <w:spacing w:after="0" w:line="312" w:lineRule="auto"/>
        <w:tabs>
          <w:tab w:leader="none" w:pos="1949" w:val="left"/>
        </w:tabs>
        <w:numPr>
          <w:ilvl w:val="1"/>
          <w:numId w:val="23"/>
        </w:numPr>
        <w:rPr>
          <w:rFonts w:ascii="Times New Roman" w:cs="Times New Roman" w:eastAsia="Times New Roman" w:hAnsi="Times New Roman"/>
          <w:sz w:val="17"/>
          <w:szCs w:val="17"/>
          <w:u w:val="single" w:color="auto"/>
          <w:color w:val="0000FF"/>
        </w:rPr>
      </w:pPr>
      <w:hyperlink r:id="rId103">
        <w:r>
          <w:rPr>
            <w:rFonts w:ascii="Times New Roman" w:cs="Times New Roman" w:eastAsia="Times New Roman" w:hAnsi="Times New Roman"/>
            <w:sz w:val="17"/>
            <w:szCs w:val="17"/>
            <w:u w:val="single" w:color="auto"/>
            <w:color w:val="0000FF"/>
          </w:rPr>
          <w:t>Form of Indemnification Agreement, incorporated by reference from Exhibit 10(xv) of McCormick's Form 10-Q for the quarter</w:t>
        </w:r>
      </w:hyperlink>
      <w:r>
        <w:rPr>
          <w:rFonts w:ascii="Times New Roman" w:cs="Times New Roman" w:eastAsia="Times New Roman" w:hAnsi="Times New Roman"/>
          <w:sz w:val="17"/>
          <w:szCs w:val="17"/>
          <w:u w:val="single" w:color="auto"/>
          <w:color w:val="0000FF"/>
        </w:rPr>
        <w:t xml:space="preserve"> </w:t>
      </w:r>
      <w:hyperlink r:id="rId103">
        <w:r>
          <w:rPr>
            <w:rFonts w:ascii="Times New Roman" w:cs="Times New Roman" w:eastAsia="Times New Roman" w:hAnsi="Times New Roman"/>
            <w:sz w:val="17"/>
            <w:szCs w:val="17"/>
            <w:u w:val="single" w:color="auto"/>
            <w:color w:val="0000FF"/>
          </w:rPr>
          <w:t>ended February 28, 2014, File No. 1-14920, as filed with the Securities and Exchange Commission on March 26, 2014.*</w:t>
        </w:r>
      </w:hyperlink>
    </w:p>
    <w:p>
      <w:pPr>
        <w:spacing w:after="0" w:line="85" w:lineRule="exact"/>
        <w:rPr>
          <w:rFonts w:ascii="Times New Roman" w:cs="Times New Roman" w:eastAsia="Times New Roman" w:hAnsi="Times New Roman"/>
          <w:sz w:val="17"/>
          <w:szCs w:val="17"/>
          <w:u w:val="single" w:color="auto"/>
          <w:color w:val="0000FF"/>
        </w:rPr>
      </w:pPr>
    </w:p>
    <w:p>
      <w:pPr>
        <w:ind w:left="1960" w:hanging="1142"/>
        <w:spacing w:after="0" w:line="282" w:lineRule="auto"/>
        <w:tabs>
          <w:tab w:leader="none" w:pos="1959" w:val="left"/>
        </w:tabs>
        <w:numPr>
          <w:ilvl w:val="1"/>
          <w:numId w:val="23"/>
        </w:numPr>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Severance Plan for Executives, incorporated by reference from Exhibit 10(xix) of McCormick's Form 10-Q for the quarter ended</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February 28, 2015, File No. 1-14920, as filed with the Securities and Exchange Commission on March 31, 2015.*</w:t>
        </w:r>
      </w:hyperlink>
    </w:p>
    <w:p>
      <w:pPr>
        <w:spacing w:after="0" w:line="107" w:lineRule="exact"/>
        <w:rPr>
          <w:rFonts w:ascii="Times New Roman" w:cs="Times New Roman" w:eastAsia="Times New Roman" w:hAnsi="Times New Roman"/>
          <w:sz w:val="18"/>
          <w:szCs w:val="18"/>
          <w:u w:val="single" w:color="auto"/>
          <w:color w:val="0000FF"/>
        </w:rPr>
      </w:pPr>
    </w:p>
    <w:p>
      <w:pPr>
        <w:ind w:left="1960" w:right="20" w:hanging="1142"/>
        <w:spacing w:after="0" w:line="261" w:lineRule="auto"/>
        <w:tabs>
          <w:tab w:leader="none" w:pos="1955" w:val="left"/>
        </w:tabs>
        <w:numPr>
          <w:ilvl w:val="1"/>
          <w:numId w:val="23"/>
        </w:numPr>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Employee Matters Agreement, dated as of March 31, 2026, by and among Unilever PLC, Sandman Corporation, Unilever Alpha</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HoldCo B.V. and McCormick &amp; Company, Incorporated, incorporated by reference from Exhibit 10.1 of McCormick’s Form 8-</w:t>
        </w:r>
      </w:hyperlink>
      <w:hyperlink r:id="rId105">
        <w:r>
          <w:rPr>
            <w:rFonts w:ascii="Times New Roman" w:cs="Times New Roman" w:eastAsia="Times New Roman" w:hAnsi="Times New Roman"/>
            <w:sz w:val="18"/>
            <w:szCs w:val="18"/>
            <w:u w:val="single" w:color="auto"/>
            <w:color w:val="0000FF"/>
          </w:rPr>
          <w:t>K/A, as amended, dated March 31, 2026, File No. 1-14920, as filed with the Securities and Exchange Commission on April 6,</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2026.</w:t>
        </w:r>
      </w:hyperlink>
    </w:p>
    <w:p>
      <w:pPr>
        <w:spacing w:after="0" w:line="112" w:lineRule="exact"/>
        <w:rPr>
          <w:rFonts w:ascii="Times New Roman" w:cs="Times New Roman" w:eastAsia="Times New Roman" w:hAnsi="Times New Roman"/>
          <w:sz w:val="18"/>
          <w:szCs w:val="18"/>
          <w:u w:val="single" w:color="auto"/>
          <w:color w:val="0000FF"/>
        </w:rPr>
      </w:pPr>
    </w:p>
    <w:p>
      <w:pPr>
        <w:ind w:left="1960" w:right="120" w:hanging="1952"/>
        <w:spacing w:after="0" w:line="266" w:lineRule="auto"/>
        <w:tabs>
          <w:tab w:leader="none" w:pos="541" w:val="left"/>
        </w:tabs>
        <w:numPr>
          <w:ilvl w:val="0"/>
          <w:numId w:val="24"/>
        </w:numPr>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McCormick Insider Trading Policy, incorporated by reference from Exhibit 19 of McCormick’s Form 10-K for the fiscal year ended November 30,</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2024, File No. 1-14920, as filed with the Securities and Exchange Commission on January 23, 2025.</w:t>
        </w:r>
      </w:hyperlink>
    </w:p>
    <w:p>
      <w:pPr>
        <w:spacing w:after="0" w:line="122" w:lineRule="exact"/>
        <w:rPr>
          <w:rFonts w:ascii="Times New Roman" w:cs="Times New Roman" w:eastAsia="Times New Roman" w:hAnsi="Times New Roman"/>
          <w:sz w:val="18"/>
          <w:szCs w:val="18"/>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color w:val="auto"/>
        </w:rPr>
        <w:t>(31)  Rule 13a-14(a)/15d-14(a) Certifications</w:t>
      </w:r>
      <w:r>
        <w:rPr>
          <w:sz w:val="20"/>
          <w:szCs w:val="20"/>
          <w:color w:val="auto"/>
        </w:rPr>
        <w:tab/>
      </w:r>
      <w:r>
        <w:rPr>
          <w:rFonts w:ascii="Times New Roman" w:cs="Times New Roman" w:eastAsia="Times New Roman" w:hAnsi="Times New Roman"/>
          <w:sz w:val="17"/>
          <w:szCs w:val="17"/>
          <w:color w:val="auto"/>
        </w:rPr>
        <w:t>Filed herewith</w:t>
      </w:r>
    </w:p>
    <w:p>
      <w:pPr>
        <w:spacing w:after="0" w:line="171" w:lineRule="exact"/>
        <w:rPr>
          <w:rFonts w:ascii="Times New Roman" w:cs="Times New Roman" w:eastAsia="Times New Roman" w:hAnsi="Times New Roman"/>
          <w:sz w:val="18"/>
          <w:szCs w:val="18"/>
          <w:color w:val="auto"/>
        </w:rPr>
      </w:pPr>
    </w:p>
    <w:p>
      <w:pPr>
        <w:ind w:left="1960" w:right="200" w:hanging="1142"/>
        <w:spacing w:after="0" w:line="282" w:lineRule="auto"/>
        <w:tabs>
          <w:tab w:leader="none" w:pos="1954" w:val="left"/>
        </w:tabs>
        <w:numPr>
          <w:ilvl w:val="0"/>
          <w:numId w:val="2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Certification of Brendan M. Foley, Chairman, President, and Chief Executive Officer, pursuant to Rule 13a-14(a) or Rule 15d-14(a) under the Securities Exchange Act of 1934, as adopted pursuant to Section 302 of the Sarbanes-Oxley Act of 2002.</w:t>
      </w:r>
    </w:p>
    <w:p>
      <w:pPr>
        <w:spacing w:after="0" w:line="107" w:lineRule="exact"/>
        <w:rPr>
          <w:rFonts w:ascii="Times New Roman" w:cs="Times New Roman" w:eastAsia="Times New Roman" w:hAnsi="Times New Roman"/>
          <w:sz w:val="18"/>
          <w:szCs w:val="18"/>
          <w:u w:val="single" w:color="auto"/>
          <w:color w:val="0000FF"/>
        </w:rPr>
      </w:pPr>
    </w:p>
    <w:p>
      <w:pPr>
        <w:jc w:val="both"/>
        <w:ind w:left="1960" w:right="240" w:hanging="1142"/>
        <w:spacing w:after="0" w:line="312" w:lineRule="auto"/>
        <w:tabs>
          <w:tab w:leader="none" w:pos="1950" w:val="left"/>
        </w:tabs>
        <w:numPr>
          <w:ilvl w:val="0"/>
          <w:numId w:val="25"/>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Certification of Marcos M. Gabriel, Executive Vice President and Chief Financial Officer, pursuant to Rule 13a-14(a) or Rule 15d-14(a) under the Securities Exchange Act of 1934, as adopted pursuant to Section 302 of the Sarbanes-Oxley Act of 2002.</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4" w:name="page55"/>
    <w:bookmarkEnd w:id="54"/>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color w:val="auto"/>
        </w:rPr>
        <w:t>(32)  Section 1350 Certifications</w:t>
      </w:r>
      <w:r>
        <w:rPr>
          <w:sz w:val="20"/>
          <w:szCs w:val="20"/>
          <w:color w:val="auto"/>
        </w:rPr>
        <w:tab/>
      </w:r>
      <w:r>
        <w:rPr>
          <w:rFonts w:ascii="Times New Roman" w:cs="Times New Roman" w:eastAsia="Times New Roman" w:hAnsi="Times New Roman"/>
          <w:sz w:val="17"/>
          <w:szCs w:val="17"/>
          <w:color w:val="auto"/>
        </w:rPr>
        <w:t>Filed herewith</w:t>
      </w:r>
    </w:p>
    <w:p>
      <w:pPr>
        <w:spacing w:after="0" w:line="171" w:lineRule="exact"/>
        <w:rPr>
          <w:sz w:val="20"/>
          <w:szCs w:val="20"/>
          <w:color w:val="auto"/>
        </w:rPr>
      </w:pPr>
    </w:p>
    <w:p>
      <w:pPr>
        <w:ind w:left="1960" w:right="140" w:hanging="1142"/>
        <w:spacing w:after="0" w:line="266" w:lineRule="auto"/>
        <w:tabs>
          <w:tab w:leader="none" w:pos="1954"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Certification of Brendan M. Foley, Chairman, President, and Chief Executive Officer, pursuant to Rule 13a-14(b) or Rule 15d-14(b) under the Securities Exchange Act of 1934 and 18 U.S.C. Section 1350, as adopted pursuant to Section 906 of the Sarbanes-Oxley Act of 2002.</w:t>
      </w:r>
    </w:p>
    <w:p>
      <w:pPr>
        <w:spacing w:after="0" w:line="121" w:lineRule="exact"/>
        <w:rPr>
          <w:rFonts w:ascii="Times New Roman" w:cs="Times New Roman" w:eastAsia="Times New Roman" w:hAnsi="Times New Roman"/>
          <w:sz w:val="18"/>
          <w:szCs w:val="18"/>
          <w:u w:val="single" w:color="auto"/>
          <w:color w:val="0000FF"/>
        </w:rPr>
      </w:pPr>
    </w:p>
    <w:p>
      <w:pPr>
        <w:ind w:left="1960" w:right="200" w:hanging="1142"/>
        <w:spacing w:after="0" w:line="266" w:lineRule="auto"/>
        <w:tabs>
          <w:tab w:leader="none" w:pos="1950" w:val="left"/>
        </w:tabs>
        <w:numPr>
          <w:ilvl w:val="0"/>
          <w:numId w:val="2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Certification of Marcos M. Gabriel, Executive Vice President and Chief Financial Officer, pursuant to Rule 13a-14(b) or Rule 15d-14(b) under the Securities Exchange Act of 1934 and 18 U.S.C. Section 1350, as adopted pursuant to Section 906 of the Sarbanes-Oxley Act of 2002.</w:t>
      </w:r>
    </w:p>
    <w:p>
      <w:pPr>
        <w:spacing w:after="0" w:line="122" w:lineRule="exact"/>
        <w:rPr>
          <w:sz w:val="20"/>
          <w:szCs w:val="20"/>
          <w:color w:val="auto"/>
        </w:rPr>
      </w:pPr>
    </w:p>
    <w:p>
      <w:pPr>
        <w:ind w:right="220" w:firstLine="8"/>
        <w:spacing w:after="0" w:line="282" w:lineRule="auto"/>
        <w:tabs>
          <w:tab w:leader="none" w:pos="345" w:val="left"/>
        </w:tabs>
        <w:numPr>
          <w:ilvl w:val="0"/>
          <w:numId w:val="27"/>
        </w:numPr>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McCormick Clawback Policy, incorporated by reference from Exhibit 97 of McCormick's Form 10-K for the fiscal year ended November 30, 2023,</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File No. 1-14920, as filed with the Securities and Exchange Commission on January 25, 2024.</w:t>
        </w:r>
      </w:hyperlink>
    </w:p>
    <w:p>
      <w:pPr>
        <w:spacing w:after="0" w:line="108" w:lineRule="exact"/>
        <w:rPr>
          <w:rFonts w:ascii="Times New Roman" w:cs="Times New Roman" w:eastAsia="Times New Roman" w:hAnsi="Times New Roman"/>
          <w:sz w:val="18"/>
          <w:szCs w:val="18"/>
          <w:color w:val="auto"/>
        </w:rPr>
      </w:pPr>
    </w:p>
    <w:p>
      <w:pPr>
        <w:ind w:firstLine="8"/>
        <w:spacing w:after="0" w:line="257" w:lineRule="auto"/>
        <w:tabs>
          <w:tab w:leader="none" w:pos="4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McCormick for the quarter ended May 31, 2026, filed electronically herewith, and formatted in Inline XBRL (Extensible Business Reporting Language): (i) Condensed Consolidated Balance Sheet; (ii) Condensed Consolidated Income Statement; (iii) Condensed Consolidated Statement of Comprehensive Income; (iv) Condensed Consolidated Cash Flow Statement;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Condensed Consolidated Statement of Shareholders' Equity; and (vi) Notes to the Condensed Consolidated Financial Statements.</w:t>
      </w:r>
    </w:p>
    <w:p>
      <w:pPr>
        <w:spacing w:after="0" w:line="153" w:lineRule="exact"/>
        <w:rPr>
          <w:rFonts w:ascii="Times New Roman" w:cs="Times New Roman" w:eastAsia="Times New Roman" w:hAnsi="Times New Roman"/>
          <w:sz w:val="18"/>
          <w:szCs w:val="18"/>
          <w:color w:val="auto"/>
        </w:rPr>
      </w:pPr>
    </w:p>
    <w:p>
      <w:pPr>
        <w:ind w:right="300" w:firstLine="8"/>
        <w:spacing w:after="0" w:line="282" w:lineRule="auto"/>
        <w:tabs>
          <w:tab w:leader="none" w:pos="4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from the Quarterly Report on Form 10-Q of McCormick for the quarter ended May 31, 2026, filed electronically herewith, included in the Exhibit 101 inline XBRL Document Set.</w:t>
      </w:r>
    </w:p>
    <w:p>
      <w:pPr>
        <w:spacing w:after="0" w:line="175"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47" w:lineRule="exact"/>
        <w:rPr>
          <w:rFonts w:ascii="Times New Roman" w:cs="Times New Roman" w:eastAsia="Times New Roman" w:hAnsi="Times New Roman"/>
          <w:sz w:val="18"/>
          <w:szCs w:val="18"/>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McCormick hereby undertakes to furnish to the Securities and Exchange Commission, upon its request, copies of additional instruments of McCormick with respect to long-term debt that involve an amount of securities that do not exceed 10 percent of the total assets of McCormick and its subsidiaries on a consolidated basis, pursuant to Regulation S-K, Item 601(b)(4)(iii)(A).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0"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5" w:name="page56"/>
    <w:bookmarkEnd w:id="55"/>
    <w:p>
      <w:pPr>
        <w:ind w:left="8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McCORMICK &amp; COMPANY, INCORPORATED</w:t>
      </w:r>
    </w:p>
    <w:p>
      <w:pPr>
        <w:spacing w:after="0" w:line="297"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18"/>
          <w:szCs w:val="18"/>
          <w:color w:val="auto"/>
        </w:rPr>
        <w:t>June 25, 2026</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321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323215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Marcos M. Gabriel</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288" w:lineRule="exact"/>
        <w:rPr>
          <w:sz w:val="20"/>
          <w:szCs w:val="20"/>
          <w:color w:val="auto"/>
        </w:rPr>
      </w:pPr>
    </w:p>
    <w:p>
      <w:pPr>
        <w:ind w:left="20"/>
        <w:spacing w:after="0"/>
        <w:tabs>
          <w:tab w:leader="none" w:pos="5300" w:val="left"/>
        </w:tabs>
        <w:rPr>
          <w:sz w:val="20"/>
          <w:szCs w:val="20"/>
          <w:color w:val="auto"/>
        </w:rPr>
      </w:pPr>
      <w:r>
        <w:rPr>
          <w:rFonts w:ascii="Times New Roman" w:cs="Times New Roman" w:eastAsia="Times New Roman" w:hAnsi="Times New Roman"/>
          <w:sz w:val="18"/>
          <w:szCs w:val="18"/>
          <w:color w:val="auto"/>
        </w:rPr>
        <w:t>June 25, 2026</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32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Julie E. Giese</w:t>
      </w:r>
    </w:p>
    <w:p>
      <w:pPr>
        <w:spacing w:after="0" w:line="2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Vice President &amp; Controller</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340"/>
          </w:cols>
          <w:pgMar w:left="320" w:top="279" w:right="1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Brendan M. Foley, certify that:</w:t>
      </w:r>
    </w:p>
    <w:p>
      <w:pPr>
        <w:spacing w:after="0" w:line="171"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McCormick &amp; Company, Incorporated (the “registrant”);</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247"/>
        <w:spacing w:after="0" w:line="266" w:lineRule="auto"/>
        <w:tabs>
          <w:tab w:leader="none" w:pos="66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247"/>
        <w:spacing w:after="0" w:line="266" w:lineRule="auto"/>
        <w:tabs>
          <w:tab w:leader="none" w:pos="6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247"/>
        <w:spacing w:after="0" w:line="312" w:lineRule="auto"/>
        <w:tabs>
          <w:tab w:leader="none" w:pos="662"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247"/>
        <w:spacing w:after="0" w:line="266" w:lineRule="auto"/>
        <w:tabs>
          <w:tab w:leader="none" w:pos="6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247"/>
        <w:spacing w:after="0" w:line="282" w:lineRule="auto"/>
        <w:tabs>
          <w:tab w:leader="none" w:pos="66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20" w:hanging="247"/>
        <w:spacing w:after="0" w:line="273" w:lineRule="auto"/>
        <w:tabs>
          <w:tab w:leader="none" w:pos="6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M. Foley</w:t>
            </w:r>
          </w:p>
        </w:tc>
      </w:tr>
      <w:tr>
        <w:trPr>
          <w:trHeight w:val="218"/>
        </w:trPr>
        <w:tc>
          <w:tcPr>
            <w:tcW w:w="6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Brendan M. Foley</w:t>
            </w:r>
          </w:p>
        </w:tc>
      </w:tr>
      <w:tr>
        <w:trPr>
          <w:trHeight w:val="234"/>
        </w:trPr>
        <w:tc>
          <w:tcPr>
            <w:tcW w:w="6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&amp; Chief Executive Officer</w:t>
            </w:r>
          </w:p>
        </w:tc>
      </w:tr>
    </w:tbl>
    <w:p>
      <w:pPr>
        <w:sectPr>
          <w:pgSz w:w="11900" w:h="16838" w:orient="portrait"/>
          <w:cols w:equalWidth="0" w:num="1">
            <w:col w:w="11240"/>
          </w:cols>
          <w:pgMar w:left="320" w:top="887" w:right="339" w:bottom="1440" w:gutter="0" w:footer="0" w:header="0"/>
        </w:sectPr>
      </w:pPr>
    </w:p>
    <w:bookmarkStart w:id="57" w:name="page58"/>
    <w:bookmarkEnd w:id="57"/>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175"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color w:val="auto"/>
        </w:rPr>
        <w:t>I, Marcos M. Gabriel, certify that:</w:t>
      </w:r>
    </w:p>
    <w:p>
      <w:pPr>
        <w:spacing w:after="0" w:line="171" w:lineRule="exact"/>
        <w:rPr>
          <w:sz w:val="20"/>
          <w:szCs w:val="20"/>
          <w:color w:val="auto"/>
        </w:rPr>
      </w:pPr>
    </w:p>
    <w:p>
      <w:pPr>
        <w:ind w:left="172" w:hanging="172"/>
        <w:spacing w:after="0"/>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McCormick &amp; Company, Incorporated (the “registrant”);</w:t>
      </w:r>
    </w:p>
    <w:p>
      <w:pPr>
        <w:spacing w:after="0" w:line="171" w:lineRule="exact"/>
        <w:rPr>
          <w:rFonts w:ascii="Times New Roman" w:cs="Times New Roman" w:eastAsia="Times New Roman" w:hAnsi="Times New Roman"/>
          <w:sz w:val="18"/>
          <w:szCs w:val="18"/>
          <w:color w:val="auto"/>
        </w:rPr>
      </w:pPr>
    </w:p>
    <w:p>
      <w:pPr>
        <w:ind w:left="-8" w:right="240" w:firstLine="8"/>
        <w:spacing w:after="0" w:line="282"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left="-8" w:right="520" w:firstLine="8"/>
        <w:spacing w:after="0" w:line="282"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 w:firstLine="8"/>
        <w:spacing w:after="0" w:line="266"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52" w:right="360" w:hanging="247"/>
        <w:spacing w:after="0" w:line="266"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52" w:right="40" w:hanging="247"/>
        <w:spacing w:after="0" w:line="266" w:lineRule="auto"/>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52" w:right="840" w:hanging="247"/>
        <w:spacing w:after="0" w:line="312" w:lineRule="auto"/>
        <w:tabs>
          <w:tab w:leader="none" w:pos="65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52" w:right="60" w:hanging="247"/>
        <w:spacing w:after="0" w:line="266" w:lineRule="auto"/>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8" w:right="460" w:firstLine="8"/>
        <w:spacing w:after="0" w:line="282"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52" w:right="260" w:hanging="247"/>
        <w:spacing w:after="0" w:line="282"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52" w:right="200" w:hanging="247"/>
        <w:spacing w:after="0" w:line="282" w:lineRule="auto"/>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32"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Marcos M. Gabriel</w:t>
            </w:r>
          </w:p>
        </w:tc>
      </w:tr>
      <w:tr>
        <w:trPr>
          <w:trHeight w:val="218"/>
        </w:trPr>
        <w:tc>
          <w:tcPr>
            <w:tcW w:w="54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Marcos M. Gabriel</w:t>
            </w:r>
          </w:p>
        </w:tc>
      </w:tr>
      <w:tr>
        <w:trPr>
          <w:trHeight w:val="234"/>
        </w:trPr>
        <w:tc>
          <w:tcPr>
            <w:tcW w:w="5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ectPr>
          <w:pgSz w:w="11900" w:h="16838" w:orient="portrait"/>
          <w:cols w:equalWidth="0" w:num="1">
            <w:col w:w="11212"/>
          </w:cols>
          <w:pgMar w:left="328" w:top="887" w:right="359" w:bottom="1440" w:gutter="0" w:footer="0" w:header="0"/>
        </w:sectPr>
      </w:pPr>
    </w:p>
    <w:bookmarkStart w:id="58" w:name="page59"/>
    <w:bookmarkEnd w:id="58"/>
    <w:p>
      <w:pPr>
        <w:ind w:left="5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McCormick &amp; Company, Incorporated (the “Company”) on Form 10-Q for the period ending May 31, 2026, as filed with the Securities and Exchange Commission on the date hereof (the “Report”), I, Brendan M. Foley, Chairman, President &amp; Chief Executive Officer of the Company, certify, pursuant to 18 U.S.C. section 1350, as adopted pursuant to section 906 of the Sarbanes-Oxley Act of 2002, that:</w:t>
      </w:r>
    </w:p>
    <w:p>
      <w:pPr>
        <w:spacing w:after="0" w:line="104"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Brendan M. Foley</w:t>
            </w:r>
          </w:p>
        </w:tc>
      </w:tr>
      <w:tr>
        <w:trPr>
          <w:trHeight w:val="218"/>
        </w:trPr>
        <w:tc>
          <w:tcPr>
            <w:tcW w:w="6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Brendan M. Foley</w:t>
            </w:r>
          </w:p>
        </w:tc>
      </w:tr>
      <w:tr>
        <w:trPr>
          <w:trHeight w:val="234"/>
        </w:trPr>
        <w:tc>
          <w:tcPr>
            <w:tcW w:w="6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&amp; Chief Executive Officer</w:t>
            </w:r>
          </w:p>
        </w:tc>
      </w:tr>
    </w:tbl>
    <w:p>
      <w:pPr>
        <w:sectPr>
          <w:pgSz w:w="11900" w:h="16838" w:orient="portrait"/>
          <w:cols w:equalWidth="0" w:num="1">
            <w:col w:w="11240"/>
          </w:cols>
          <w:pgMar w:left="320" w:top="887" w:right="339" w:bottom="1440" w:gutter="0" w:footer="0" w:header="0"/>
        </w:sectPr>
      </w:pPr>
    </w:p>
    <w:bookmarkStart w:id="59" w:name="page60"/>
    <w:bookmarkEnd w:id="59"/>
    <w:p>
      <w:pPr>
        <w:ind w:left="50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McCormick &amp; Company, Incorporated (the “Company”) on Form 10-Q for the period ending May 31, 2026, as filed with the Securities and Exchange Commission on the date hereof (the “Report”), I, Marcos M. Gabriel, Executive Vice President &amp; Chief Financial Officer of the Company, certify, pursuant to 18 U.S.C. section 1350, as adopted pursuant to section 906 of the Sarbanes-Oxley Act of 2002, that:</w:t>
      </w:r>
    </w:p>
    <w:p>
      <w:pPr>
        <w:spacing w:after="0" w:line="104" w:lineRule="exact"/>
        <w:rPr>
          <w:sz w:val="20"/>
          <w:szCs w:val="20"/>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2026</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Marcos M. Gabriel</w:t>
            </w:r>
          </w:p>
        </w:tc>
      </w:tr>
      <w:tr>
        <w:trPr>
          <w:trHeight w:val="218"/>
        </w:trPr>
        <w:tc>
          <w:tcPr>
            <w:tcW w:w="6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Marcos M. Gabriel</w:t>
            </w:r>
          </w:p>
        </w:tc>
      </w:tr>
      <w:tr>
        <w:trPr>
          <w:trHeight w:val="234"/>
        </w:trPr>
        <w:tc>
          <w:tcPr>
            <w:tcW w:w="61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pacing w:after="0" w:line="1" w:lineRule="exact"/>
        <w:rPr>
          <w:sz w:val="20"/>
          <w:szCs w:val="20"/>
          <w:color w:val="auto"/>
        </w:rPr>
      </w:pP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6"/>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lvl w:ilvl="1">
      <w:lvlJc w:val="left"/>
      <w:lvlText w:val="%2."/>
      <w:numFmt w:val="decimal"/>
      <w:start w:val="1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Roman"/>
      <w:start w:val="2"/>
    </w:lvl>
  </w:abstractNum>
  <w:abstractNum w:abstractNumId="18">
    <w:nsid w:val="189A769B"/>
    <w:multiLevelType w:val="hybridMultilevel"/>
    <w:lvl w:ilvl="0">
      <w:lvlJc w:val="left"/>
      <w:lvlText w:val="(%1)"/>
      <w:numFmt w:val="lowerRoman"/>
      <w:start w:val="2"/>
    </w:lvl>
  </w:abstractNum>
  <w:abstractNum w:abstractNumId="19">
    <w:nsid w:val="54E49EB4"/>
    <w:multiLevelType w:val="hybridMultilevel"/>
    <w:lvl w:ilvl="0">
      <w:lvlJc w:val="left"/>
      <w:lvlText w:val="(%1)"/>
      <w:numFmt w:val="decimal"/>
      <w:start w:val="4"/>
    </w:lvl>
    <w:lvl w:ilvl="1">
      <w:lvlJc w:val="left"/>
      <w:lvlText w:val="(%2)"/>
      <w:numFmt w:val="lowerRoman"/>
      <w:start w:val="1"/>
    </w:lvl>
  </w:abstractNum>
  <w:abstractNum w:abstractNumId="20">
    <w:nsid w:val="71F32454"/>
    <w:multiLevelType w:val="hybridMultilevel"/>
    <w:lvl w:ilvl="0">
      <w:lvlJc w:val="left"/>
      <w:lvlText w:val="%1"/>
      <w:numFmt w:val="decimal"/>
      <w:start w:val="1"/>
    </w:lvl>
    <w:lvl w:ilvl="1">
      <w:lvlJc w:val="left"/>
      <w:lvlText w:val="(%2)"/>
      <w:numFmt w:val="lowerRoman"/>
      <w:start w:val="5"/>
    </w:lvl>
  </w:abstractNum>
  <w:abstractNum w:abstractNumId="21">
    <w:nsid w:val="2CA88611"/>
    <w:multiLevelType w:val="hybridMultilevel"/>
    <w:lvl w:ilvl="0">
      <w:lvlJc w:val="left"/>
      <w:lvlText w:val="(%1)"/>
      <w:numFmt w:val="decimal"/>
      <w:start w:val="10"/>
    </w:lvl>
    <w:lvl w:ilvl="1">
      <w:lvlJc w:val="left"/>
      <w:lvlText w:val="(%2)"/>
      <w:numFmt w:val="lowerRoman"/>
      <w:start w:val="1"/>
    </w:lvl>
  </w:abstractNum>
  <w:abstractNum w:abstractNumId="22">
    <w:nsid w:val="836C40E"/>
    <w:multiLevelType w:val="hybridMultilevel"/>
    <w:lvl w:ilvl="0">
      <w:lvlJc w:val="left"/>
      <w:lvlText w:val="%1"/>
      <w:numFmt w:val="decimal"/>
      <w:start w:val="1"/>
    </w:lvl>
    <w:lvl w:ilvl="1">
      <w:lvlJc w:val="left"/>
      <w:lvlText w:val="(%2)"/>
      <w:numFmt w:val="lowerRoman"/>
      <w:start w:val="6"/>
    </w:lvl>
  </w:abstractNum>
  <w:abstractNum w:abstractNumId="23">
    <w:nsid w:val="2901D82"/>
    <w:multiLevelType w:val="hybridMultilevel"/>
    <w:lvl w:ilvl="0">
      <w:lvlJc w:val="left"/>
      <w:lvlText w:val="(%1)"/>
      <w:numFmt w:val="decimal"/>
      <w:start w:val="19"/>
    </w:lvl>
    <w:lvl w:ilvl="1">
      <w:lvlJc w:val="left"/>
      <w:lvlText w:val="%2"/>
      <w:numFmt w:val="lowerRoman"/>
      <w:start w:val="1"/>
    </w:lvl>
  </w:abstractNum>
  <w:abstractNum w:abstractNumId="24">
    <w:nsid w:val="3A95F874"/>
    <w:multiLevelType w:val="hybridMultilevel"/>
    <w:lvl w:ilvl="0">
      <w:lvlJc w:val="left"/>
      <w:lvlText w:val="(%1)"/>
      <w:numFmt w:val="lowerRoman"/>
      <w:start w:val="1"/>
    </w:lvl>
  </w:abstractNum>
  <w:abstractNum w:abstractNumId="25">
    <w:nsid w:val="8138641"/>
    <w:multiLevelType w:val="hybridMultilevel"/>
    <w:lvl w:ilvl="0">
      <w:lvlJc w:val="left"/>
      <w:lvlText w:val="(%1)"/>
      <w:numFmt w:val="lowerRoman"/>
      <w:start w:val="1"/>
    </w:lvl>
  </w:abstractNum>
  <w:abstractNum w:abstractNumId="26">
    <w:nsid w:val="1E7FF521"/>
    <w:multiLevelType w:val="hybridMultilevel"/>
    <w:lvl w:ilvl="0">
      <w:lvlJc w:val="left"/>
      <w:lvlText w:val="(%1)"/>
      <w:numFmt w:val="decimal"/>
      <w:start w:val="97"/>
    </w:lvl>
  </w:abstractNum>
  <w:abstractNum w:abstractNumId="27">
    <w:nsid w:val="7C3DBD3D"/>
    <w:multiLevelType w:val="hybridMultilevel"/>
    <w:lvl w:ilvl="0">
      <w:lvlJc w:val="left"/>
      <w:lvlText w:val="(%1)"/>
      <w:numFmt w:val="decimal"/>
      <w:start w:val="101"/>
    </w:lvl>
  </w:abstractNum>
  <w:abstractNum w:abstractNumId="28">
    <w:nsid w:val="737B8DDC"/>
    <w:multiLevelType w:val="hybridMultilevel"/>
    <w:lvl w:ilvl="0">
      <w:lvlJc w:val="left"/>
      <w:lvlText w:val="(%1)"/>
      <w:numFmt w:val="decimal"/>
      <w:start w:val="104"/>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0" Type="http://schemas.openxmlformats.org/officeDocument/2006/relationships/image" Target="media/image64.png"/><Relationship Id="rId93" Type="http://schemas.openxmlformats.org/officeDocument/2006/relationships/image" Target="media/image65.png"/><Relationship Id="rId107"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71" Type="http://schemas.openxmlformats.org/officeDocument/2006/relationships/hyperlink" Target="https://www.sec.gov/Archives/edgar/data/63754/000199937126007673/ex2-1.htm" TargetMode="External"/><Relationship Id="rId72" Type="http://schemas.openxmlformats.org/officeDocument/2006/relationships/hyperlink" Target="https://www.sec.gov/Archives/edgar/data/63754/000199937126007673/ex2-2.htm" TargetMode="External"/><Relationship Id="rId73" Type="http://schemas.openxmlformats.org/officeDocument/2006/relationships/hyperlink" Target="https://www.sec.gov/Archives/edgar/data/63754/000199937126009633/ex2-1.htm" TargetMode="External"/><Relationship Id="rId74" Type="http://schemas.openxmlformats.org/officeDocument/2006/relationships/hyperlink" Target="https://www.sec.gov/Archives/edgar/data/63754/000104746903010744/a2106508zex-4.htm" TargetMode="External"/><Relationship Id="rId75" Type="http://schemas.openxmlformats.org/officeDocument/2006/relationships/hyperlink" Target="https://www.sec.gov/Archives/edgar/data/63754/000006375421000120/mkc-5312021xexhibit3i.htm" TargetMode="External"/><Relationship Id="rId76" Type="http://schemas.openxmlformats.org/officeDocument/2006/relationships/hyperlink" Target="https://www.sec.gov/Archives/edgar/data/63754/000006375419000197/by-lawsxamendment11262.htm" TargetMode="External"/><Relationship Id="rId77" Type="http://schemas.openxmlformats.org/officeDocument/2006/relationships/hyperlink" Target="https://www.sec.gov/Archives/edgar/data/63754/000091205701535224/a2060832zex-4_1.txt" TargetMode="External"/><Relationship Id="rId78" Type="http://schemas.openxmlformats.org/officeDocument/2006/relationships/hyperlink" Target="https://www.sec.gov/Archives/edgar/data/63754/000119312511185096/dex41.htm" TargetMode="External"/><Relationship Id="rId79" Type="http://schemas.openxmlformats.org/officeDocument/2006/relationships/hyperlink" Target="https://www.sec.gov/Archives/edgar/data/63754/000119312517255976/d438862dex44.htm" TargetMode="External"/><Relationship Id="rId81" Type="http://schemas.openxmlformats.org/officeDocument/2006/relationships/hyperlink" Target="https://www.sec.gov/Archives/edgar/data/63754/000119312517255976/d438862dex45.htm" TargetMode="External"/><Relationship Id="rId82" Type="http://schemas.openxmlformats.org/officeDocument/2006/relationships/hyperlink" Target="https://www.sec.gov/Archives/edgar/data/63754/000119312520109283/d914567dex42.htm" TargetMode="External"/><Relationship Id="rId83" Type="http://schemas.openxmlformats.org/officeDocument/2006/relationships/hyperlink" Target="https://www.sec.gov/Archives/edgar/data/63754/000119312521038393/d126576dex43.htm" TargetMode="External"/><Relationship Id="rId84" Type="http://schemas.openxmlformats.org/officeDocument/2006/relationships/hyperlink" Target="https://www.sec.gov/Archives/edgar/data/63754/000119312523094010/d490179dex42.htm" TargetMode="External"/><Relationship Id="rId85" Type="http://schemas.openxmlformats.org/officeDocument/2006/relationships/hyperlink" Target="https://www.sec.gov/Archives/edgar/data/63754/000119312524234390/d869386dex42.htm" TargetMode="External"/><Relationship Id="rId86" Type="http://schemas.openxmlformats.org/officeDocument/2006/relationships/hyperlink" Target="https://www.sec.gov/Archives/edgar/data/63754/000119312526039410/d84332dex42.htm" TargetMode="External"/><Relationship Id="rId87" Type="http://schemas.openxmlformats.org/officeDocument/2006/relationships/hyperlink" Target="https://www.sec.gov/Archives/edgar/data/63754/000006375422000005/mkc-11302021xex4xiiidescri.htm" TargetMode="External"/><Relationship Id="rId88" Type="http://schemas.openxmlformats.org/officeDocument/2006/relationships/hyperlink" Target="https://www.sec.gov/Archives/edgar/data/63754/000110465903022728/a03-3846_1ex10dviii.htm" TargetMode="External"/><Relationship Id="rId89" Type="http://schemas.openxmlformats.org/officeDocument/2006/relationships/hyperlink" Target="https://www.sec.gov/Archives/edgar/data/63754/000110465904004446/a04-2106_1def14a.htm" TargetMode="External"/><Relationship Id="rId90" Type="http://schemas.openxmlformats.org/officeDocument/2006/relationships/hyperlink" Target="https://www.sec.gov/Archives/edgar/data/63754/000006375417000020/mkc-2282017xex10.htm" TargetMode="External"/><Relationship Id="rId91" Type="http://schemas.openxmlformats.org/officeDocument/2006/relationships/hyperlink" Target="https://www.sec.gov/Archives/edgar/data/63754/000120677408000339/exhibit99-a.htm" TargetMode="External"/><Relationship Id="rId92" Type="http://schemas.openxmlformats.org/officeDocument/2006/relationships/hyperlink" Target="https://www.sec.gov/Archives/edgar/data/63754/000130817919000003/lmkc2019_def14a.htm" TargetMode="External"/><Relationship Id="rId94" Type="http://schemas.openxmlformats.org/officeDocument/2006/relationships/hyperlink" Target="https://www.sec.gov/Archives/edgar/data/63754/000130817922000010/lmkc2022_def14a.htm" TargetMode="External"/><Relationship Id="rId95" Type="http://schemas.openxmlformats.org/officeDocument/2006/relationships/hyperlink" Target="https://www.sec.gov/Archives/edgar/data/63754/000006375422000038/exhibit10vii-2022omnibuspl.htm" TargetMode="External"/><Relationship Id="rId96" Type="http://schemas.openxmlformats.org/officeDocument/2006/relationships/hyperlink" Target="https://www.sec.gov/Archives/edgar/data/63754/000006375422000026/ltppformawardagreementfo.htm" TargetMode="External"/><Relationship Id="rId97" Type="http://schemas.openxmlformats.org/officeDocument/2006/relationships/hyperlink" Target="https://www.sec.gov/Archives/edgar/data/63754/000006375422000026/a2022rsuagreementforexec.htm" TargetMode="External"/><Relationship Id="rId98" Type="http://schemas.openxmlformats.org/officeDocument/2006/relationships/hyperlink" Target="https://www.sec.gov/Archives/edgar/data/63754/000006375422000026/a2022rsuagreementfordire.htm" TargetMode="External"/><Relationship Id="rId99" Type="http://schemas.openxmlformats.org/officeDocument/2006/relationships/hyperlink" Target="https://www.sec.gov/Archives/edgar/data/63754/000006375422000026/a2022nqsoagreementforexe.htm" TargetMode="External"/><Relationship Id="rId100" Type="http://schemas.openxmlformats.org/officeDocument/2006/relationships/hyperlink" Target="https://www.sec.gov/Archives/edgar/data/63754/000006375422000026/a2022nqsoagreementfordir.htm" TargetMode="External"/><Relationship Id="rId101" Type="http://schemas.openxmlformats.org/officeDocument/2006/relationships/hyperlink" Target="https://www.sec.gov/Archives/edgar/data/63754/000006375424000057/mkc-05312024xex1012.htm" TargetMode="External"/><Relationship Id="rId102" Type="http://schemas.openxmlformats.org/officeDocument/2006/relationships/hyperlink" Target="https://www.sec.gov/Archives/edgar/data/63754/000006375424000057/mkc-05312024xex1014.htm" TargetMode="External"/><Relationship Id="rId103" Type="http://schemas.openxmlformats.org/officeDocument/2006/relationships/hyperlink" Target="https://www.sec.gov/Archives/edgar/data/63754/000006375414000013/mkc-2282014xex1015.htm" TargetMode="External"/><Relationship Id="rId104" Type="http://schemas.openxmlformats.org/officeDocument/2006/relationships/hyperlink" Target="https://www.sec.gov/Archives/edgar/data/63754/000006375415000030/mkc-2282015xex10xix.htm" TargetMode="External"/><Relationship Id="rId105" Type="http://schemas.openxmlformats.org/officeDocument/2006/relationships/hyperlink" Target="https://www.sec.gov/Archives/edgar/data/63754/000199937126007673/ex10-1.htm" TargetMode="External"/><Relationship Id="rId106" Type="http://schemas.openxmlformats.org/officeDocument/2006/relationships/hyperlink" Target="https://www.sec.gov/Archives/edgar/data/63754/000006375425000005/mkc-11302024xex19.htm" TargetMode="External"/><Relationship Id="rId108" Type="http://schemas.openxmlformats.org/officeDocument/2006/relationships/hyperlink" Target="https://www.sec.gov/Archives/edgar/data/63754/000006375424000027/mkc-1130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2026-06-25T16:31:07Z</dcterms:created>
  <dcterms:modified xsi:type="dcterms:W3CDTF">2026-06-25T16:31:07Z</dcterms:modified>
</cp:coreProperties>
</file>