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00"/>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3"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Registration Statement No. 333-271070</w:t>
      </w:r>
    </w:p>
    <w:p>
      <w:pPr>
        <w:spacing w:after="0" w:line="10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b w:val="1"/>
          <w:bCs w:val="1"/>
          <w:u w:val="single" w:color="auto"/>
          <w:color w:val="auto"/>
        </w:rPr>
        <w:t>PROSPECTUS SUPPLEMENT</w:t>
      </w:r>
    </w:p>
    <w:p>
      <w:pPr>
        <w:spacing w:after="0" w:line="2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(To Prospectus dated April 3, 2023)</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79375</wp:posOffset>
            </wp:positionV>
            <wp:extent cx="584835" cy="518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35" cy="5181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McCormick &amp; Company, Incorporated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4.150% Notes due 2029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127000</wp:posOffset>
            </wp:positionV>
            <wp:extent cx="11430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6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4"/>
          <w:szCs w:val="14"/>
          <w:color w:val="auto"/>
        </w:rPr>
        <w:t>We are offering $500,000,000 aggregate principal amount of 4.150% Notes due 2029 (the “notes”).</w:t>
      </w:r>
    </w:p>
    <w:p>
      <w:pPr>
        <w:spacing w:after="0" w:line="90" w:lineRule="exact"/>
        <w:rPr>
          <w:sz w:val="24"/>
          <w:szCs w:val="24"/>
          <w:color w:val="auto"/>
        </w:rPr>
      </w:pPr>
    </w:p>
    <w:p>
      <w:pPr>
        <w:ind w:left="240" w:right="419" w:firstLine="341"/>
        <w:spacing w:after="0" w:line="265" w:lineRule="auto"/>
        <w:rPr>
          <w:sz w:val="20"/>
          <w:szCs w:val="20"/>
          <w:color w:val="auto"/>
        </w:rPr>
      </w:pPr>
      <w:r>
        <w:rPr>
          <w:rFonts w:ascii="Times New Roman" w:cs="Times New Roman" w:eastAsia="Times New Roman" w:hAnsi="Times New Roman"/>
          <w:sz w:val="14"/>
          <w:szCs w:val="14"/>
          <w:color w:val="auto"/>
        </w:rPr>
        <w:t>We will pay interest on the notes semi-annually in arrears on February 15 and August 15 of each year, beginning on August 15, 2026. The notes will mature on February 15, 2029. The notes will be issued only in minimum denominations of $2,000 and integral multiples of $1,000 in excess thereof.</w:t>
      </w:r>
    </w:p>
    <w:p>
      <w:pPr>
        <w:spacing w:after="0" w:line="53" w:lineRule="exact"/>
        <w:rPr>
          <w:sz w:val="24"/>
          <w:szCs w:val="24"/>
          <w:color w:val="auto"/>
        </w:rPr>
      </w:pPr>
    </w:p>
    <w:p>
      <w:pPr>
        <w:ind w:left="240" w:right="679" w:firstLine="341"/>
        <w:spacing w:after="0" w:line="281" w:lineRule="auto"/>
        <w:rPr>
          <w:sz w:val="20"/>
          <w:szCs w:val="20"/>
          <w:color w:val="auto"/>
        </w:rPr>
      </w:pPr>
      <w:r>
        <w:rPr>
          <w:rFonts w:ascii="Times New Roman" w:cs="Times New Roman" w:eastAsia="Times New Roman" w:hAnsi="Times New Roman"/>
          <w:sz w:val="14"/>
          <w:szCs w:val="14"/>
          <w:color w:val="auto"/>
        </w:rPr>
        <w:t>We may redeem the notes in whole or in part at any time or from time to time at the applicable redemption price set forth in this prospectus supplement under the section entitled “Description of Notes—Optional Redemption.”</w:t>
      </w:r>
    </w:p>
    <w:p>
      <w:pPr>
        <w:spacing w:after="0" w:line="4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4"/>
          <w:szCs w:val="14"/>
          <w:color w:val="auto"/>
        </w:rPr>
        <w:t>If a Change of Control Triggering Event (as defined herein) occurs, we will be required to make an offer to purchase the notes at a price equal to</w:t>
      </w:r>
    </w:p>
    <w:p>
      <w:pPr>
        <w:spacing w:after="0" w:line="21" w:lineRule="exact"/>
        <w:rPr>
          <w:sz w:val="24"/>
          <w:szCs w:val="24"/>
          <w:color w:val="auto"/>
        </w:rPr>
      </w:pPr>
    </w:p>
    <w:p>
      <w:pPr>
        <w:ind w:left="240" w:right="679"/>
        <w:spacing w:after="0" w:line="259" w:lineRule="auto"/>
        <w:rPr>
          <w:sz w:val="20"/>
          <w:szCs w:val="20"/>
          <w:color w:val="auto"/>
        </w:rPr>
      </w:pPr>
      <w:r>
        <w:rPr>
          <w:rFonts w:ascii="Times New Roman" w:cs="Times New Roman" w:eastAsia="Times New Roman" w:hAnsi="Times New Roman"/>
          <w:sz w:val="14"/>
          <w:szCs w:val="14"/>
          <w:color w:val="auto"/>
        </w:rPr>
        <w:t>101% of their principal amount, plus accrued and unpaid interest, if any, to, but excluding, the date of repurchase, as described under the heading “Description of Notes—Change of Control Repurchase.”</w:t>
      </w:r>
    </w:p>
    <w:p>
      <w:pPr>
        <w:spacing w:after="0" w:line="56" w:lineRule="exact"/>
        <w:rPr>
          <w:sz w:val="24"/>
          <w:szCs w:val="24"/>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The notes will be unsecured senior obligations of ours and will rank equally with all of our other unsecured and unsubordinated indebtedness from time to time outstanding.</w:t>
      </w:r>
    </w:p>
    <w:p>
      <w:pPr>
        <w:spacing w:after="0" w:line="42" w:lineRule="exact"/>
        <w:rPr>
          <w:sz w:val="24"/>
          <w:szCs w:val="24"/>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The notes will not be listed on any securities exchange or included in any automated dealer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95250</wp:posOffset>
            </wp:positionV>
            <wp:extent cx="11430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ind w:left="240" w:right="379" w:firstLine="341"/>
        <w:spacing w:after="0" w:line="262" w:lineRule="auto"/>
        <w:rPr>
          <w:sz w:val="20"/>
          <w:szCs w:val="20"/>
          <w:color w:val="auto"/>
        </w:rPr>
      </w:pPr>
      <w:r>
        <w:rPr>
          <w:rFonts w:ascii="Times New Roman" w:cs="Times New Roman" w:eastAsia="Times New Roman" w:hAnsi="Times New Roman"/>
          <w:sz w:val="17"/>
          <w:szCs w:val="17"/>
          <w:b w:val="1"/>
          <w:bCs w:val="1"/>
          <w:color w:val="auto"/>
        </w:rPr>
        <w:t>Investing in the notes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S-4 of this prospectus supplement and the documents we incorporate by reference in this prospectus supplement and the accompanying prospectus.</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134"/>
        </w:trPr>
        <w:tc>
          <w:tcPr>
            <w:tcW w:w="47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Per Note</w:t>
            </w: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CCEEFF"/>
            </w:tcBorders>
          </w:tcPr>
          <w:p>
            <w:pPr>
              <w:spacing w:after="0"/>
              <w:rPr>
                <w:sz w:val="11"/>
                <w:szCs w:val="11"/>
                <w:color w:val="auto"/>
              </w:rPr>
            </w:pPr>
          </w:p>
        </w:tc>
      </w:tr>
      <w:tr>
        <w:trPr>
          <w:trHeight w:val="158"/>
        </w:trPr>
        <w:tc>
          <w:tcPr>
            <w:tcW w:w="4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3"/>
                <w:szCs w:val="13"/>
                <w:color w:val="auto"/>
              </w:rPr>
              <w:t>Public offering price</w:t>
            </w:r>
            <w:r>
              <w:rPr>
                <w:rFonts w:ascii="Times New Roman" w:cs="Times New Roman" w:eastAsia="Times New Roman" w:hAnsi="Times New Roman"/>
                <w:sz w:val="18"/>
                <w:szCs w:val="18"/>
                <w:color w:val="auto"/>
                <w:vertAlign w:val="superscript"/>
              </w:rPr>
              <w:t>(1)</w:t>
            </w:r>
          </w:p>
        </w:tc>
        <w:tc>
          <w:tcPr>
            <w:tcW w:w="920" w:type="dxa"/>
            <w:vAlign w:val="bottom"/>
            <w:gridSpan w:val="2"/>
            <w:shd w:val="clear" w:color="auto" w:fill="CCEEFF"/>
          </w:tcPr>
          <w:p>
            <w:pPr>
              <w:jc w:val="right"/>
              <w:ind w:right="380"/>
              <w:spacing w:after="0" w:line="158" w:lineRule="exact"/>
              <w:rPr>
                <w:sz w:val="20"/>
                <w:szCs w:val="20"/>
                <w:color w:val="auto"/>
              </w:rPr>
            </w:pPr>
            <w:r>
              <w:rPr>
                <w:rFonts w:ascii="Times New Roman" w:cs="Times New Roman" w:eastAsia="Times New Roman" w:hAnsi="Times New Roman"/>
                <w:sz w:val="14"/>
                <w:szCs w:val="14"/>
                <w:color w:val="auto"/>
              </w:rPr>
              <w:t>99.926%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7"/>
              </w:rPr>
              <w:t>499,630,000</w:t>
            </w:r>
          </w:p>
        </w:tc>
        <w:tc>
          <w:tcPr>
            <w:tcW w:w="40" w:type="dxa"/>
            <w:vAlign w:val="bottom"/>
            <w:shd w:val="clear" w:color="auto" w:fill="CCEEFF"/>
          </w:tcPr>
          <w:p>
            <w:pPr>
              <w:spacing w:after="0"/>
              <w:rPr>
                <w:sz w:val="13"/>
                <w:szCs w:val="13"/>
                <w:color w:val="auto"/>
              </w:rPr>
            </w:pPr>
          </w:p>
        </w:tc>
      </w:tr>
      <w:tr>
        <w:trPr>
          <w:trHeight w:val="167"/>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0.400%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2,000,000</w:t>
            </w:r>
          </w:p>
        </w:tc>
      </w:tr>
      <w:tr>
        <w:trPr>
          <w:trHeight w:val="167"/>
        </w:trPr>
        <w:tc>
          <w:tcPr>
            <w:tcW w:w="4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Proceeds, before expenses, to McCormick</w:t>
            </w:r>
            <w:r>
              <w:rPr>
                <w:rFonts w:ascii="Times New Roman" w:cs="Times New Roman" w:eastAsia="Times New Roman" w:hAnsi="Times New Roman"/>
                <w:sz w:val="19"/>
                <w:szCs w:val="19"/>
                <w:color w:val="auto"/>
                <w:vertAlign w:val="superscript"/>
              </w:rPr>
              <w:t>(1)</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99.526%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497,630,000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149225</wp:posOffset>
            </wp:positionH>
            <wp:positionV relativeFrom="paragraph">
              <wp:posOffset>73025</wp:posOffset>
            </wp:positionV>
            <wp:extent cx="5981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22" w:lineRule="exact"/>
        <w:rPr>
          <w:sz w:val="24"/>
          <w:szCs w:val="24"/>
          <w:color w:val="auto"/>
        </w:rPr>
      </w:pPr>
    </w:p>
    <w:p>
      <w:pPr>
        <w:ind w:left="560" w:hanging="325"/>
        <w:spacing w:after="0"/>
        <w:tabs>
          <w:tab w:leader="none" w:pos="5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February 5, 2026, if settlement occurs after that date.</w:t>
      </w:r>
    </w:p>
    <w:p>
      <w:pPr>
        <w:spacing w:after="0" w:line="88" w:lineRule="exact"/>
        <w:rPr>
          <w:sz w:val="24"/>
          <w:szCs w:val="24"/>
          <w:color w:val="auto"/>
        </w:rPr>
      </w:pPr>
    </w:p>
    <w:p>
      <w:pPr>
        <w:ind w:left="240" w:right="27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3" w:lineRule="exact"/>
        <w:rPr>
          <w:sz w:val="24"/>
          <w:szCs w:val="24"/>
          <w:color w:val="auto"/>
        </w:rPr>
      </w:pPr>
    </w:p>
    <w:p>
      <w:pPr>
        <w:ind w:left="240" w:right="599" w:firstLine="341"/>
        <w:spacing w:after="0" w:line="281" w:lineRule="auto"/>
        <w:rPr>
          <w:sz w:val="20"/>
          <w:szCs w:val="20"/>
          <w:color w:val="auto"/>
        </w:rPr>
      </w:pPr>
      <w:r>
        <w:rPr>
          <w:rFonts w:ascii="Times New Roman" w:cs="Times New Roman" w:eastAsia="Times New Roman" w:hAnsi="Times New Roman"/>
          <w:sz w:val="14"/>
          <w:szCs w:val="14"/>
          <w:color w:val="auto"/>
        </w:rPr>
        <w:t>We expect delivery of the notes will be made in book-entry form through The Depository Trust Company for the accounts of its participants, including Euroclear and Clearstream, on or about February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95250</wp:posOffset>
            </wp:positionV>
            <wp:extent cx="11430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9019"/>
          </w:cols>
          <w:pgMar w:left="1440" w:top="207" w:right="1440" w:bottom="1440" w:gutter="0" w:footer="0" w:header="0"/>
        </w:sectPr>
      </w:pPr>
    </w:p>
    <w:p>
      <w:pPr>
        <w:spacing w:after="0" w:line="93"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BofA Securities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Truist Securities </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Wells Fargo Securities</w:t>
      </w:r>
    </w:p>
    <w:p>
      <w:pPr>
        <w:spacing w:after="0" w:line="68" w:lineRule="exact"/>
        <w:rPr>
          <w:sz w:val="24"/>
          <w:szCs w:val="24"/>
          <w:color w:val="auto"/>
        </w:rPr>
      </w:pPr>
    </w:p>
    <w:p>
      <w:pPr>
        <w:sectPr>
          <w:pgSz w:w="11900" w:h="16838" w:orient="portrait"/>
          <w:cols w:equalWidth="0" w:num="3">
            <w:col w:w="3280" w:space="720"/>
            <w:col w:w="1840" w:space="720"/>
            <w:col w:w="2459"/>
          </w:cols>
          <w:pgMar w:left="1440" w:top="207"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b w:val="1"/>
          <w:bCs w:val="1"/>
          <w:color w:val="auto"/>
        </w:rPr>
        <w:t>BNP PARIBAS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Citigroup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Mizuho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US Bancorp</w:t>
      </w:r>
    </w:p>
    <w:p>
      <w:pPr>
        <w:spacing w:after="0" w:line="96" w:lineRule="exact"/>
        <w:rPr>
          <w:sz w:val="24"/>
          <w:szCs w:val="24"/>
          <w:color w:val="auto"/>
        </w:rPr>
      </w:pPr>
    </w:p>
    <w:p>
      <w:pPr>
        <w:sectPr>
          <w:pgSz w:w="11900" w:h="16838" w:orient="portrait"/>
          <w:cols w:equalWidth="0" w:num="4">
            <w:col w:w="2560" w:space="720"/>
            <w:col w:w="1520" w:space="720"/>
            <w:col w:w="1200" w:space="720"/>
            <w:col w:w="1579"/>
          </w:cols>
          <w:pgMar w:left="1440" w:top="20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ectPr>
          <w:pgSz w:w="11900" w:h="16838" w:orient="portrait"/>
          <w:cols w:equalWidth="0" w:num="1">
            <w:col w:w="9019"/>
          </w:cols>
          <w:pgMar w:left="1440" w:top="207" w:right="1440" w:bottom="1440" w:gutter="0" w:footer="0" w:header="0"/>
          <w:type w:val="continuous"/>
        </w:sectPr>
      </w:pPr>
    </w:p>
    <w:p>
      <w:pPr>
        <w:spacing w:after="0" w:line="10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3"/>
          <w:szCs w:val="13"/>
          <w:b w:val="1"/>
          <w:bCs w:val="1"/>
          <w:color w:val="auto"/>
        </w:rPr>
        <w:t>Citizens Capital Markets</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HSBC</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ING</w:t>
      </w:r>
    </w:p>
    <w:p>
      <w:pPr>
        <w:spacing w:after="0" w:line="70" w:lineRule="exact"/>
        <w:rPr>
          <w:sz w:val="24"/>
          <w:szCs w:val="24"/>
          <w:color w:val="auto"/>
        </w:rPr>
      </w:pPr>
    </w:p>
    <w:p>
      <w:pPr>
        <w:sectPr>
          <w:pgSz w:w="11900" w:h="16838" w:orient="portrait"/>
          <w:cols w:equalWidth="0" w:num="3">
            <w:col w:w="3840" w:space="720"/>
            <w:col w:w="2100" w:space="720"/>
            <w:col w:w="1639"/>
          </w:cols>
          <w:pgMar w:left="1440" w:top="207"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3"/>
          <w:szCs w:val="13"/>
          <w:b w:val="1"/>
          <w:bCs w:val="1"/>
          <w:color w:val="auto"/>
        </w:rPr>
        <w:t>M&amp;T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PNC Capital Markets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127635</wp:posOffset>
            </wp:positionV>
            <wp:extent cx="1143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      UBS Investment Bank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BBVA</w:t>
      </w:r>
    </w:p>
    <w:p>
      <w:pPr>
        <w:spacing w:after="0" w:line="211" w:lineRule="exact"/>
        <w:rPr>
          <w:sz w:val="24"/>
          <w:szCs w:val="24"/>
          <w:color w:val="auto"/>
        </w:rPr>
      </w:pPr>
    </w:p>
    <w:p>
      <w:pPr>
        <w:sectPr>
          <w:pgSz w:w="11900" w:h="16838" w:orient="portrait"/>
          <w:cols w:equalWidth="0" w:num="4">
            <w:col w:w="2080" w:space="720"/>
            <w:col w:w="1640" w:space="540"/>
            <w:col w:w="2700" w:space="720"/>
            <w:col w:w="619"/>
          </w:cols>
          <w:pgMar w:left="1440" w:top="207" w:right="1440" w:bottom="1440" w:gutter="0" w:footer="0" w:header="0"/>
          <w:type w:val="continuous"/>
        </w:sectPr>
      </w:pP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February 3, 2026.</w:t>
      </w:r>
    </w:p>
    <w:p>
      <w:pPr>
        <w:sectPr>
          <w:pgSz w:w="11900" w:h="16838" w:orient="portrait"/>
          <w:cols w:equalWidth="0" w:num="1">
            <w:col w:w="9019"/>
          </w:cols>
          <w:pgMar w:left="1440" w:top="207" w:right="1440" w:bottom="1440" w:gutter="0" w:footer="0" w:header="0"/>
          <w:type w:val="continuous"/>
        </w:sectPr>
      </w:pPr>
    </w:p>
    <w:bookmarkStart w:id="1" w:name="page2"/>
    <w:bookmarkEnd w:id="1"/>
    <w:tbl>
      <w:tblPr>
        <w:tblLayout w:type="fixed"/>
        <w:tblInd w:w="24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2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880" w:type="dxa"/>
            <w:vAlign w:val="bottom"/>
          </w:tcPr>
          <w:p>
            <w:pPr>
              <w:spacing w:after="0"/>
              <w:rPr>
                <w:sz w:val="16"/>
                <w:szCs w:val="16"/>
                <w:color w:val="auto"/>
              </w:rPr>
            </w:pPr>
          </w:p>
        </w:tc>
      </w:tr>
      <w:tr>
        <w:trPr>
          <w:trHeight w:val="251"/>
        </w:trPr>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9"/>
              </w:rPr>
              <w:t>Prospectus Supplement</w:t>
            </w:r>
          </w:p>
        </w:tc>
        <w:tc>
          <w:tcPr>
            <w:tcW w:w="1880" w:type="dxa"/>
            <w:vAlign w:val="bottom"/>
          </w:tcPr>
          <w:p>
            <w:pPr>
              <w:spacing w:after="0"/>
              <w:rPr>
                <w:sz w:val="21"/>
                <w:szCs w:val="21"/>
                <w:color w:val="auto"/>
              </w:rPr>
            </w:pPr>
          </w:p>
        </w:tc>
      </w:tr>
      <w:tr>
        <w:trPr>
          <w:trHeight w:val="324"/>
        </w:trPr>
        <w:tc>
          <w:tcPr>
            <w:tcW w:w="662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S-iii</w:t>
            </w:r>
          </w:p>
        </w:tc>
      </w:tr>
      <w:tr>
        <w:trPr>
          <w:trHeight w:val="147"/>
        </w:trPr>
        <w:tc>
          <w:tcPr>
            <w:tcW w:w="1300" w:type="dxa"/>
            <w:vAlign w:val="bottom"/>
            <w:tcBorders>
              <w:top w:val="single" w:sz="8" w:color="0000EE"/>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7"/>
              </w:rPr>
              <w:t>Prospectus Supplement</w:t>
            </w:r>
          </w:p>
        </w:tc>
        <w:tc>
          <w:tcPr>
            <w:tcW w:w="1900" w:type="dxa"/>
            <w:vAlign w:val="bottom"/>
            <w:tcBorders>
              <w:top w:val="single" w:sz="8" w:color="0000EE"/>
            </w:tcBorders>
            <w:gridSpan w:val="5"/>
          </w:tcPr>
          <w:p>
            <w:pPr>
              <w:spacing w:after="0"/>
              <w:rPr>
                <w:sz w:val="12"/>
                <w:szCs w:val="12"/>
                <w:color w:val="auto"/>
              </w:rPr>
            </w:pPr>
          </w:p>
        </w:tc>
        <w:tc>
          <w:tcPr>
            <w:tcW w:w="3420" w:type="dxa"/>
            <w:vAlign w:val="bottom"/>
            <w:gridSpan w:val="3"/>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w:t>
            </w: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The Offering</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w:t>
            </w:r>
          </w:p>
        </w:tc>
      </w:tr>
      <w:tr>
        <w:trPr>
          <w:trHeight w:val="147"/>
        </w:trPr>
        <w:tc>
          <w:tcPr>
            <w:tcW w:w="7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20" w:type="dxa"/>
            <w:vAlign w:val="bottom"/>
            <w:tcBorders>
              <w:top w:val="single" w:sz="8" w:color="0000EE"/>
            </w:tcBorders>
          </w:tcPr>
          <w:p>
            <w:pPr>
              <w:spacing w:after="0"/>
              <w:rPr>
                <w:sz w:val="12"/>
                <w:szCs w:val="12"/>
                <w:color w:val="auto"/>
              </w:rPr>
            </w:pPr>
          </w:p>
        </w:tc>
        <w:tc>
          <w:tcPr>
            <w:tcW w:w="5900" w:type="dxa"/>
            <w:vAlign w:val="bottom"/>
            <w:gridSpan w:val="16"/>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S-4</w:t>
            </w: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S-8</w:t>
            </w: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7"/>
        </w:trPr>
        <w:tc>
          <w:tcPr>
            <w:tcW w:w="116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Notes</w:t>
            </w:r>
          </w:p>
        </w:tc>
        <w:tc>
          <w:tcPr>
            <w:tcW w:w="5460" w:type="dxa"/>
            <w:vAlign w:val="bottom"/>
            <w:gridSpan w:val="10"/>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S-9</w:t>
            </w:r>
          </w:p>
        </w:tc>
      </w:tr>
      <w:tr>
        <w:trPr>
          <w:trHeight w:val="147"/>
        </w:trPr>
        <w:tc>
          <w:tcPr>
            <w:tcW w:w="274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8"/>
              </w:rPr>
              <w:t>Material U.S. Federal Income Tax Consequences</w:t>
            </w:r>
          </w:p>
        </w:tc>
        <w:tc>
          <w:tcPr>
            <w:tcW w:w="3880" w:type="dxa"/>
            <w:vAlign w:val="bottom"/>
            <w:gridSpan w:val="4"/>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S-17</w:t>
            </w: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Underwriting</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S-22</w:t>
            </w:r>
          </w:p>
        </w:tc>
      </w:tr>
      <w:tr>
        <w:trPr>
          <w:trHeight w:val="147"/>
        </w:trPr>
        <w:tc>
          <w:tcPr>
            <w:tcW w:w="740" w:type="dxa"/>
            <w:vAlign w:val="bottom"/>
            <w:tcBorders>
              <w:top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880" w:type="dxa"/>
            <w:vAlign w:val="bottom"/>
            <w:gridSpan w:val="15"/>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S-28</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7"/>
        </w:trPr>
        <w:tc>
          <w:tcPr>
            <w:tcW w:w="7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5840" w:type="dxa"/>
            <w:vAlign w:val="bottom"/>
            <w:gridSpan w:val="14"/>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S-29</w:t>
            </w: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 And Incorporation By Reference</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S-30</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14"/>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880" w:type="dxa"/>
            <w:vAlign w:val="bottom"/>
          </w:tcPr>
          <w:p>
            <w:pPr>
              <w:spacing w:after="0"/>
              <w:rPr>
                <w:sz w:val="24"/>
                <w:szCs w:val="24"/>
                <w:color w:val="auto"/>
              </w:rPr>
            </w:pPr>
          </w:p>
        </w:tc>
      </w:tr>
      <w:tr>
        <w:trPr>
          <w:trHeight w:val="324"/>
        </w:trPr>
        <w:tc>
          <w:tcPr>
            <w:tcW w:w="662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80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r>
      <w:tr>
        <w:trPr>
          <w:trHeight w:val="147"/>
        </w:trPr>
        <w:tc>
          <w:tcPr>
            <w:tcW w:w="7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2500" w:type="dxa"/>
            <w:vAlign w:val="bottom"/>
            <w:tcBorders>
              <w:top w:val="single" w:sz="8" w:color="0000EE"/>
            </w:tcBorders>
            <w:gridSpan w:val="14"/>
          </w:tcPr>
          <w:p>
            <w:pPr>
              <w:spacing w:after="0"/>
              <w:rPr>
                <w:sz w:val="12"/>
                <w:szCs w:val="12"/>
                <w:color w:val="auto"/>
              </w:rPr>
            </w:pPr>
          </w:p>
        </w:tc>
        <w:tc>
          <w:tcPr>
            <w:tcW w:w="3420" w:type="dxa"/>
            <w:vAlign w:val="bottom"/>
            <w:gridSpan w:val="3"/>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80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7"/>
              </w:rPr>
              <w:t>Our Company</w:t>
            </w:r>
          </w:p>
        </w:tc>
        <w:tc>
          <w:tcPr>
            <w:tcW w:w="5820" w:type="dxa"/>
            <w:vAlign w:val="bottom"/>
            <w:gridSpan w:val="13"/>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90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Description of Equity Securities</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1100" w:type="dxa"/>
            <w:vAlign w:val="bottom"/>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Certain Provisions of Maryland Law and Our Charter and By-Laws</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r>
        <w:trPr>
          <w:trHeight w:val="147"/>
        </w:trPr>
        <w:tc>
          <w:tcPr>
            <w:tcW w:w="3760" w:type="dxa"/>
            <w:vAlign w:val="bottom"/>
            <w:tcBorders>
              <w:top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2860" w:type="dxa"/>
            <w:vAlign w:val="bottom"/>
            <w:gridSpan w:val="2"/>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r>
      <w:tr>
        <w:trPr>
          <w:trHeight w:val="147"/>
        </w:trPr>
        <w:tc>
          <w:tcPr>
            <w:tcW w:w="1260" w:type="dxa"/>
            <w:vAlign w:val="bottom"/>
            <w:tcBorders>
              <w:top w:val="single" w:sz="8" w:color="0000EE"/>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Book-Entry Securities</w:t>
            </w:r>
          </w:p>
        </w:tc>
        <w:tc>
          <w:tcPr>
            <w:tcW w:w="420" w:type="dxa"/>
            <w:vAlign w:val="bottom"/>
            <w:tcBorders>
              <w:top w:val="single" w:sz="8" w:color="0000EE"/>
            </w:tcBorders>
            <w:gridSpan w:val="2"/>
          </w:tcPr>
          <w:p>
            <w:pPr>
              <w:spacing w:after="0"/>
              <w:rPr>
                <w:sz w:val="12"/>
                <w:szCs w:val="12"/>
                <w:color w:val="auto"/>
              </w:rPr>
            </w:pPr>
          </w:p>
        </w:tc>
        <w:tc>
          <w:tcPr>
            <w:tcW w:w="4940" w:type="dxa"/>
            <w:vAlign w:val="bottom"/>
            <w:gridSpan w:val="7"/>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r>
      <w:tr>
        <w:trPr>
          <w:trHeight w:val="147"/>
        </w:trPr>
        <w:tc>
          <w:tcPr>
            <w:tcW w:w="66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7"/>
        </w:trPr>
        <w:tc>
          <w:tcPr>
            <w:tcW w:w="110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520" w:type="dxa"/>
            <w:vAlign w:val="bottom"/>
            <w:gridSpan w:val="11"/>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20"/>
        </w:trPr>
        <w:tc>
          <w:tcPr>
            <w:tcW w:w="420" w:type="dxa"/>
            <w:vAlign w:val="bottom"/>
            <w:shd w:val="clear" w:color="auto" w:fill="0000EE"/>
          </w:tcPr>
          <w:p>
            <w:pPr>
              <w:spacing w:after="0" w:line="20" w:lineRule="exact"/>
              <w:rPr>
                <w:sz w:val="1"/>
                <w:szCs w:val="1"/>
                <w:color w:val="auto"/>
              </w:rPr>
            </w:pPr>
          </w:p>
        </w:tc>
        <w:tc>
          <w:tcPr>
            <w:tcW w:w="3660" w:type="dxa"/>
            <w:vAlign w:val="bottom"/>
            <w:gridSpan w:val="17"/>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7"/>
        </w:trPr>
        <w:tc>
          <w:tcPr>
            <w:tcW w:w="7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5840" w:type="dxa"/>
            <w:vAlign w:val="bottom"/>
            <w:gridSpan w:val="14"/>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147"/>
        </w:trPr>
        <w:tc>
          <w:tcPr>
            <w:tcW w:w="408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9"/>
              </w:rPr>
              <w:t>Where You Can Find More Information and Incorporation by Reference</w:t>
            </w:r>
          </w:p>
        </w:tc>
        <w:tc>
          <w:tcPr>
            <w:tcW w:w="2540" w:type="dxa"/>
            <w:vAlign w:val="bottom"/>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bl>
    <w:p>
      <w:pPr>
        <w:jc w:val="right"/>
        <w:spacing w:after="0" w:line="147" w:lineRule="exact"/>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ABOUT THIS PROSPECTUS SUPPLEMENT</w:t>
      </w:r>
    </w:p>
    <w:p>
      <w:pPr>
        <w:spacing w:after="0" w:line="176"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terms of the notes that we are currently offering. The second part is the accompanying prospectus, which gives more general information, some of which may not apply to the notes that we are currently offering. Generally, the term “prospectus” refers to both parts combined.</w:t>
      </w:r>
    </w:p>
    <w:p>
      <w:pPr>
        <w:spacing w:after="0" w:line="136"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You should read this prospectus supplement along with the accompanying prospectus. You should rely only on the information contained in or incorporated by reference in this prospectus supplement, the accompanying prospectus and any free writing prospectus which we deliver to you. We have not, and the underwriters have not, authorized any other person to provide you with different information. If anyone provides you with different or inconsistent information, you should not rely on it. You should assume that the information provided by this prospectus supplement, the accompanying prospectus, any document incorporated by reference herein or therein or any free writing prospectus that we may authorize or provide is accurate only as of the date of that document. Our business, financial condition, results of operations and prospects may have changed since those dates. The notes are being offered and sold only in jurisdictions where offers and sales are permitted.</w:t>
      </w:r>
    </w:p>
    <w:p>
      <w:pPr>
        <w:spacing w:after="0" w:line="147" w:lineRule="exact"/>
        <w:rPr>
          <w:sz w:val="20"/>
          <w:szCs w:val="20"/>
          <w:color w:val="auto"/>
        </w:rPr>
      </w:pPr>
    </w:p>
    <w:p>
      <w:pPr>
        <w:ind w:left="240" w:right="559" w:firstLine="341"/>
        <w:spacing w:after="0" w:line="281" w:lineRule="auto"/>
        <w:rPr>
          <w:sz w:val="20"/>
          <w:szCs w:val="20"/>
          <w:color w:val="auto"/>
        </w:rPr>
      </w:pPr>
      <w:r>
        <w:rPr>
          <w:rFonts w:ascii="Times New Roman" w:cs="Times New Roman" w:eastAsia="Times New Roman" w:hAnsi="Times New Roman"/>
          <w:sz w:val="14"/>
          <w:szCs w:val="14"/>
          <w:color w:val="auto"/>
        </w:rPr>
        <w:t>If there is any inconsistency between the information in this prospectus supplement and the accompanying prospectus, the information in this prospectus supplement supersedes the information in the accompanying prospectus.</w:t>
      </w:r>
    </w:p>
    <w:p>
      <w:pPr>
        <w:spacing w:after="0" w:line="125"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Except as the context otherwise requires, or as otherwise specified or used in this prospectus supplement or the accompanying prospectus, when we refer to “McCormick,” “the Company,” “we,” “us” or “our” in this prospectus supplement and the accompanying prospectus, we mean McCormick &amp; Company, Incorporated and its subsidiaries.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CAUTIONARY NOTE REGARDING FORWARD-LOOKING STATEMENTS</w:t>
      </w:r>
    </w:p>
    <w:p>
      <w:pPr>
        <w:spacing w:after="0" w:line="176" w:lineRule="exact"/>
        <w:rPr>
          <w:sz w:val="20"/>
          <w:szCs w:val="20"/>
          <w:color w:val="auto"/>
        </w:rPr>
      </w:pPr>
    </w:p>
    <w:p>
      <w:pPr>
        <w:ind w:left="240" w:right="579" w:firstLine="341"/>
        <w:spacing w:after="0" w:line="260"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information incorporated by reference herein or therein include “forward-looking statements” within the meaning of Section 27A of the Securities Act of 1933, as amended (the “Securities Act”), and Section 21E of the Securities Exchange Act of 1934, as amended (the “Exchange Act”). We intend the forward-looking statements to be covered by the safe harbor provisions for forward-looking statements in these sections.</w:t>
      </w:r>
    </w:p>
    <w:p>
      <w:pPr>
        <w:spacing w:after="0" w:line="140" w:lineRule="exact"/>
        <w:rPr>
          <w:sz w:val="20"/>
          <w:szCs w:val="20"/>
          <w:color w:val="auto"/>
        </w:rPr>
      </w:pPr>
    </w:p>
    <w:p>
      <w:pPr>
        <w:ind w:left="240" w:right="459" w:firstLine="341"/>
        <w:spacing w:after="0" w:line="265"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our use of forward-looking words such as “may,” “will,” “expect,” “should,” “anticipate,” “intend,” “believe,” “plan” and similar expressions. You should be aware that these statements are based on our views, expectations and assumptions at the time. Actual events or results may differ substantially.</w:t>
      </w:r>
    </w:p>
    <w:p>
      <w:pPr>
        <w:spacing w:after="0" w:line="136" w:lineRule="exact"/>
        <w:rPr>
          <w:sz w:val="20"/>
          <w:szCs w:val="20"/>
          <w:color w:val="auto"/>
        </w:rPr>
      </w:pPr>
    </w:p>
    <w:p>
      <w:pPr>
        <w:ind w:left="240" w:right="319" w:firstLine="341"/>
        <w:spacing w:after="0" w:line="251" w:lineRule="auto"/>
        <w:rPr>
          <w:sz w:val="20"/>
          <w:szCs w:val="20"/>
          <w:color w:val="auto"/>
        </w:rPr>
      </w:pPr>
      <w:r>
        <w:rPr>
          <w:rFonts w:ascii="Times New Roman" w:cs="Times New Roman" w:eastAsia="Times New Roman" w:hAnsi="Times New Roman"/>
          <w:sz w:val="14"/>
          <w:szCs w:val="14"/>
          <w:color w:val="auto"/>
        </w:rPr>
        <w:t>Forward-looking statements include, but are not limited to, statements related to general economic and industry conditions, including consumer spending rates, recessions, interest rates, and availability of capital; expectations regarding sales growth potential in various geographies and markets, including the impact of brand marketing support, product innovation, and customer, channel, category, heat platform, and e-commerce expansion; the expected results of operations of businesses acquired, including the additional 25% ownership interest in McCormick de Mexico; expected trends in net sales, earnings performance, and other financial measures; the expected impact of pricing actions on our results of operations, including our sales volume and mix as well as gross margins; the expected impact of the inflationary cost environment on our business; the anticipated effects of factors affecting our supply chain, including the availability and prices of commodities and other supply chain resources such as raw materials, packaging, labor, and transportation; the potential impact of trade policies, including tariffs; the impact of legal challenges to U.S. tariffs; the expected impact of productivity improvements, including those associated with our Comprehensive Continuous Improvement (“CCI”) program and the Global Business Services operating model initiative; the ability to identify, attract, hire, retain, and develop qualified personnel and the next generation of leaders; the impact of ongoing or future geopolitical conflicts, including the potential for broader economic disruption; expected working capital improvements; the anticipated timing and costs of implementing our business transformation initiative, which includes the implementation of a global enterprise resource planning system; the expected impact of accounting pronouncements; expectations regarding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payments of interest, repayment of short- and long-term debt, working capital needs, planned capital expenditures, quarterly dividends, and our ability to obtain additional short- and long-term financing or issue additional debt securities; and expectations regarding purchasing shares of our common stock under the existing repurchase authorization.</w:t>
      </w:r>
    </w:p>
    <w:p>
      <w:pPr>
        <w:spacing w:after="0" w:line="151" w:lineRule="exact"/>
        <w:rPr>
          <w:sz w:val="20"/>
          <w:szCs w:val="20"/>
          <w:color w:val="auto"/>
        </w:rPr>
      </w:pPr>
    </w:p>
    <w:p>
      <w:pPr>
        <w:ind w:left="240" w:right="439" w:firstLine="341"/>
        <w:spacing w:after="0" w:line="281" w:lineRule="auto"/>
        <w:rPr>
          <w:sz w:val="20"/>
          <w:szCs w:val="20"/>
          <w:color w:val="auto"/>
        </w:rPr>
      </w:pPr>
      <w:r>
        <w:rPr>
          <w:rFonts w:ascii="Times New Roman" w:cs="Times New Roman" w:eastAsia="Times New Roman" w:hAnsi="Times New Roman"/>
          <w:sz w:val="14"/>
          <w:szCs w:val="14"/>
          <w:color w:val="auto"/>
        </w:rPr>
        <w:t>These and other forward-looking statements are based on management’s current views and assumptions and involve risks and uncertainties that could significantly affect expected results. Results may be materially affected by factors such as:</w:t>
      </w:r>
    </w:p>
    <w:p>
      <w:pPr>
        <w:spacing w:after="0" w:line="52" w:lineRule="exact"/>
        <w:rPr>
          <w:sz w:val="20"/>
          <w:szCs w:val="20"/>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revenue growth;</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pricing to offset, or partially offset, inflationary pressures on the cost of our products;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or brand name;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brand relevance;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private label use;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offset cost pressures or business impacts related to trade policies, including tariffs;</w:t>
      </w:r>
    </w:p>
    <w:p>
      <w:pPr>
        <w:spacing w:after="0" w:line="100" w:lineRule="exact"/>
        <w:rPr>
          <w:rFonts w:ascii="Times New Roman" w:cs="Times New Roman" w:eastAsia="Times New Roman" w:hAnsi="Times New Roman"/>
          <w:sz w:val="14"/>
          <w:szCs w:val="14"/>
          <w:color w:val="auto"/>
        </w:rPr>
      </w:pPr>
    </w:p>
    <w:p>
      <w:pPr>
        <w:jc w:val="center"/>
        <w:ind w:left="4380" w:right="1199" w:hanging="3727"/>
        <w:spacing w:after="0" w:line="452" w:lineRule="auto"/>
        <w:tabs>
          <w:tab w:leader="none" w:pos="98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productivity improvements, including those related to our CCI program and other streamlining actions; S-iii</w:t>
      </w:r>
    </w:p>
    <w:p>
      <w:pPr>
        <w:sectPr>
          <w:pgSz w:w="11900" w:h="16838" w:orient="portrait"/>
          <w:cols w:equalWidth="0" w:num="1">
            <w:col w:w="9019"/>
          </w:cols>
          <w:pgMar w:left="1440" w:top="238" w:right="1440" w:bottom="1440" w:gutter="0" w:footer="0" w:header="0"/>
        </w:sectPr>
      </w:pPr>
    </w:p>
    <w:bookmarkStart w:id="4" w:name="page5"/>
    <w:bookmarkEnd w:id="4"/>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product quality, labeling, or safety concerns;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about our products;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and the financial condition of, competitors and customers;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longevity of mutually beneficial relationships with our large customers;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interpret and react to changes in consumer preference and demand;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due to natural disasters, unexpected events or public health crises;</w:t>
      </w:r>
    </w:p>
    <w:p>
      <w:pPr>
        <w:spacing w:after="0" w:line="100"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affecting our supply chain and procurement of raw materials, including fluctuations in the cost and availability of raw and packaging materials;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shortage, turnover and labor cost increases;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changing political and geopolitical conditions, including conflicts and the potential for broader economic disruption;</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and changes in legal and regulatory requirements and enforcement practices;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successful acquisition and integration of new businesses;</w:t>
      </w:r>
    </w:p>
    <w:p>
      <w:pPr>
        <w:spacing w:after="0" w:line="100" w:lineRule="exact"/>
        <w:rPr>
          <w:rFonts w:ascii="Times New Roman" w:cs="Times New Roman" w:eastAsia="Times New Roman" w:hAnsi="Times New Roman"/>
          <w:sz w:val="14"/>
          <w:szCs w:val="14"/>
          <w:color w:val="auto"/>
        </w:rPr>
      </w:pPr>
    </w:p>
    <w:p>
      <w:pPr>
        <w:ind w:left="980" w:right="599" w:hanging="327"/>
        <w:spacing w:after="0" w:line="281"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and financial conditions generally, availability of financing, interest and inflation rates, and the imposition of tariffs, quotas, trade barriers and other similar restrictions;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w:t>
      </w:r>
    </w:p>
    <w:p>
      <w:pPr>
        <w:spacing w:after="0" w:line="100" w:lineRule="exact"/>
        <w:rPr>
          <w:rFonts w:ascii="Times New Roman" w:cs="Times New Roman" w:eastAsia="Times New Roman" w:hAnsi="Times New Roman"/>
          <w:sz w:val="14"/>
          <w:szCs w:val="14"/>
          <w:color w:val="auto"/>
        </w:rPr>
      </w:pPr>
    </w:p>
    <w:p>
      <w:pPr>
        <w:ind w:left="980" w:right="459" w:hanging="327"/>
        <w:spacing w:after="0" w:line="265"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our amount of outstanding indebtedness and related level of debt service as well as the effects that such debt service may have on our ability to borrow or the cost of any such additional borrowing, our credit rating, and our ability to react to certain economic and industry conditions;</w:t>
      </w:r>
    </w:p>
    <w:p>
      <w:pPr>
        <w:spacing w:after="0" w:line="63"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of indefinite-lived intangible assets;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we have made regarding the investment return on retirement plan assets, and the costs associated with pension obligations;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stability of credit and capital markets;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our information technology systems, including the threat of data breaches and cyber-attacks;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implement our business transformation initiative;</w:t>
      </w:r>
    </w:p>
    <w:p>
      <w:pPr>
        <w:spacing w:after="0" w:line="100"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fundamental changes in tax laws, including interpretations and assumptions we have made, and guidance that may be issued, and volatility in our effective tax rate;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social and governance matters;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of intellectual property rights, and those of customers;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legal and administrative proceedings;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expected and/or needed cost savings or margin improvements;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employee relations; and</w:t>
      </w:r>
    </w:p>
    <w:p>
      <w:pPr>
        <w:spacing w:after="0" w:line="100"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this prospectus supplement or the accompanying prospectus and the documents incorporated by reference herein or therein under the caption “Risk Factors.”</w:t>
      </w:r>
    </w:p>
    <w:p>
      <w:pPr>
        <w:spacing w:after="0" w:line="125" w:lineRule="exact"/>
        <w:rPr>
          <w:sz w:val="20"/>
          <w:szCs w:val="20"/>
          <w:color w:val="auto"/>
        </w:rPr>
      </w:pPr>
    </w:p>
    <w:p>
      <w:pPr>
        <w:ind w:left="240" w:right="539" w:firstLine="341"/>
        <w:spacing w:after="0" w:line="295" w:lineRule="auto"/>
        <w:rPr>
          <w:sz w:val="20"/>
          <w:szCs w:val="20"/>
          <w:color w:val="auto"/>
        </w:rPr>
      </w:pPr>
      <w:r>
        <w:rPr>
          <w:rFonts w:ascii="Times New Roman" w:cs="Times New Roman" w:eastAsia="Times New Roman" w:hAnsi="Times New Roman"/>
          <w:sz w:val="13"/>
          <w:szCs w:val="13"/>
          <w:color w:val="auto"/>
        </w:rPr>
        <w:t>We caution you that any forward-looking statements made by us are not guarantees of future performance. You should keep in mind that any forward-looking statement we make in this prospectus supplement, the accompanying prospectus, any free writing prospectus or the documents incorporated by reference herein or therein speaks only as of the date on which we make it. New risks and uncertainties arise from time to time, and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9019"/>
          </w:cols>
          <w:pgMar w:left="1440" w:top="240" w:right="1440" w:bottom="1440" w:gutter="0" w:footer="0" w:header="0"/>
        </w:sectPr>
      </w:pPr>
    </w:p>
    <w:bookmarkStart w:id="5" w:name="page6"/>
    <w:bookmarkEnd w:id="5"/>
    <w:p>
      <w:pPr>
        <w:ind w:left="240" w:right="3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it is impossible for us to predict these events or how they may affect us. In any event, these and other important factors, including those set forth under the caption “Risk Factors” in this prospectus supplement and the documents incorporated by reference herein, may cause actual results to differ materially from those indicated by our forward-looking statements. These factors should not be construed as exhaustive and should be read in conjunction with the other cautionary statements that are included or incorporated by reference in this prospectus supplement and the accompanying prospectus. We undertake no obligation to update or revise publicly any forward-looking statements, whether as a result of new information, future events or otherwise, except as may be required by law. In light of these risks and uncertainties, you should keep in mind that the future events or circumstances described in any forward-looking statement we make in this prospectus supplement, the accompanying prospectus or the documents incorporated by reference herein or therein might not occur.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9019"/>
          </w:cols>
          <w:pgMar w:left="1440" w:top="2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02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020060"/>
                    </a:xfrm>
                    <a:prstGeom prst="rect">
                      <a:avLst/>
                    </a:prstGeom>
                    <a:noFill/>
                  </pic:spPr>
                </pic:pic>
              </a:graphicData>
            </a:graphic>
          </wp:anchor>
        </w:drawing>
        <w:t>PROSPECTUS SUPPLEMENT</w:t>
      </w:r>
    </w:p>
    <w:p>
      <w:pPr>
        <w:spacing w:after="0" w:line="174" w:lineRule="exact"/>
        <w:rPr>
          <w:sz w:val="20"/>
          <w:szCs w:val="20"/>
          <w:color w:val="auto"/>
        </w:rPr>
      </w:pPr>
    </w:p>
    <w:p>
      <w:pPr>
        <w:ind w:left="380" w:right="599" w:firstLine="330"/>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elsewhere in this prospectus supplement, the accompanying prospectus and the documents incorporated by reference herein or therein. It may not contain all of the information that you should consider before investing in the notes. For a more complete discussion of the information you should consider before investing in the notes, you should carefully read this entire prospectus supplement, the accompanying prospectus and the documents incorporated by reference herein.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6" w:lineRule="exact"/>
        <w:rPr>
          <w:sz w:val="20"/>
          <w:szCs w:val="20"/>
          <w:color w:val="auto"/>
        </w:rPr>
      </w:pPr>
    </w:p>
    <w:p>
      <w:pPr>
        <w:ind w:left="380" w:right="659" w:firstLine="330"/>
        <w:spacing w:after="0" w:line="280" w:lineRule="auto"/>
        <w:rPr>
          <w:sz w:val="20"/>
          <w:szCs w:val="20"/>
          <w:color w:val="auto"/>
        </w:rPr>
      </w:pPr>
      <w:r>
        <w:rPr>
          <w:rFonts w:ascii="Times New Roman" w:cs="Times New Roman" w:eastAsia="Times New Roman" w:hAnsi="Times New Roman"/>
          <w:sz w:val="13"/>
          <w:szCs w:val="13"/>
          <w:color w:val="auto"/>
        </w:rPr>
        <w:t>We are a global leader in flavor. We manufacture, market, and distribute herbs, spices, seasoning mixes, condiments and other flavorful products to the entire food and beverage industry: retailers, food manufacturers, and foodservice businesses. In fiscal year 2025, approximately</w:t>
      </w:r>
    </w:p>
    <w:p>
      <w:pPr>
        <w:spacing w:after="0" w:line="1" w:lineRule="exact"/>
        <w:rPr>
          <w:sz w:val="20"/>
          <w:szCs w:val="20"/>
          <w:color w:val="auto"/>
        </w:rPr>
      </w:pPr>
    </w:p>
    <w:p>
      <w:pPr>
        <w:ind w:left="380" w:right="399"/>
        <w:spacing w:after="0" w:line="254" w:lineRule="auto"/>
        <w:rPr>
          <w:sz w:val="20"/>
          <w:szCs w:val="20"/>
          <w:color w:val="auto"/>
        </w:rPr>
      </w:pPr>
      <w:r>
        <w:rPr>
          <w:rFonts w:ascii="Times New Roman" w:cs="Times New Roman" w:eastAsia="Times New Roman" w:hAnsi="Times New Roman"/>
          <w:sz w:val="14"/>
          <w:szCs w:val="14"/>
          <w:color w:val="auto"/>
        </w:rPr>
        <w:t>39% of our sales were from non-U.S. operations. We also are partners in a number of joint ventures that are involved in the manufacture and sale of flavorful products, the most significant of which is McCormick de Mexico. Our major sales, distribution, and production facilities are located in North America, Europe, and China. Additional facilities are based in Australia, Central America, Thailand, and South Africa.</w:t>
      </w:r>
    </w:p>
    <w:p>
      <w:pPr>
        <w:spacing w:after="0" w:line="144" w:lineRule="exact"/>
        <w:rPr>
          <w:sz w:val="20"/>
          <w:szCs w:val="20"/>
          <w:color w:val="auto"/>
        </w:rPr>
      </w:pPr>
    </w:p>
    <w:p>
      <w:pPr>
        <w:ind w:left="380" w:right="419" w:firstLine="330"/>
        <w:spacing w:after="0" w:line="254" w:lineRule="auto"/>
        <w:rPr>
          <w:sz w:val="20"/>
          <w:szCs w:val="20"/>
          <w:color w:val="auto"/>
        </w:rPr>
      </w:pPr>
      <w:r>
        <w:rPr>
          <w:rFonts w:ascii="Times New Roman" w:cs="Times New Roman" w:eastAsia="Times New Roman" w:hAnsi="Times New Roman"/>
          <w:sz w:val="14"/>
          <w:szCs w:val="14"/>
          <w:color w:val="auto"/>
        </w:rPr>
        <w:t>We operate in two business segments: Consumer and Flavor Solutions. The Consumer and Flavor Solutions segments manufacture, market and distribute herbs, spices, seasoning mixes, condiments and other flavorful products throughout the world. Our Consumer segment sells to retail channels, including grocery, mass merchandise, warehouse clubs, discount and drug stores, and e-commerce retailers under the “McCormick” brand and a variety of brands around the world, including “French’s,” “Frank’s RedHot,” “Lawry’s,” “Zatarain’s,” “Simply Asia,” “Thai Kitchen,” “Ducros,” “Vahiné,” “Cholula,” “Schwartz,” “Club House,” “Kamis,” “DaQiao,” “La Drogheria,” “Stubb’s,” “OLD BAY,” and “Gourmet Garden.” Our Flavor Solutions segment sells to food manufacturers and the foodservice industry both directly and indirectly through distributors, with the exception of our businesses in China where foodservice sales are managed by and reported in our Consumer segment.</w:t>
      </w:r>
    </w:p>
    <w:p>
      <w:pPr>
        <w:spacing w:after="0" w:line="147" w:lineRule="exact"/>
        <w:rPr>
          <w:sz w:val="20"/>
          <w:szCs w:val="20"/>
          <w:color w:val="auto"/>
        </w:rPr>
      </w:pPr>
    </w:p>
    <w:p>
      <w:pPr>
        <w:ind w:left="380" w:right="759" w:firstLine="330"/>
        <w:spacing w:after="0" w:line="281" w:lineRule="auto"/>
        <w:rPr>
          <w:sz w:val="20"/>
          <w:szCs w:val="20"/>
          <w:color w:val="auto"/>
        </w:rPr>
      </w:pPr>
      <w:r>
        <w:rPr>
          <w:rFonts w:ascii="Times New Roman" w:cs="Times New Roman" w:eastAsia="Times New Roman" w:hAnsi="Times New Roman"/>
          <w:sz w:val="14"/>
          <w:szCs w:val="14"/>
          <w:color w:val="auto"/>
        </w:rPr>
        <w:t>McCormick &amp; Company, Incorporated was formed in 1915 under Maryland law as the successor to a business established in 1889. Our principal executive offices are located at 24 Schilling Road, Suite 1, Hunt Valley, Maryland 21031 (telephone: (410) 771-7301).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4" w:right="1440" w:bottom="1440" w:gutter="0" w:footer="0" w:header="0"/>
        </w:sectPr>
      </w:pPr>
    </w:p>
    <w:bookmarkStart w:id="7" w:name="page8"/>
    <w:bookmarkEnd w:id="7"/>
    <w:tbl>
      <w:tblPr>
        <w:tblLayout w:type="fixed"/>
        <w:tblInd w:w="230" w:type="dxa"/>
        <w:tblCellMar>
          <w:top w:w="0" w:type="dxa"/>
          <w:left w:w="0" w:type="dxa"/>
          <w:bottom w:w="0" w:type="dxa"/>
          <w:right w:w="0" w:type="dxa"/>
        </w:tblCellMar>
      </w:tblPr>
      <w:tr>
        <w:trPr>
          <w:trHeight w:val="319"/>
        </w:trPr>
        <w:tc>
          <w:tcPr>
            <w:tcW w:w="2420" w:type="dxa"/>
            <w:vAlign w:val="bottom"/>
            <w:tcBorders>
              <w:top w:val="single" w:sz="8" w:color="auto"/>
              <w:left w:val="single" w:sz="8" w:color="auto"/>
            </w:tcBorders>
          </w:tcPr>
          <w:p>
            <w:pPr>
              <w:spacing w:after="0"/>
              <w:rPr>
                <w:sz w:val="24"/>
                <w:szCs w:val="24"/>
                <w:color w:val="auto"/>
              </w:rPr>
            </w:pPr>
          </w:p>
        </w:tc>
        <w:tc>
          <w:tcPr>
            <w:tcW w:w="6140" w:type="dxa"/>
            <w:vAlign w:val="bottom"/>
            <w:tcBorders>
              <w:top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6"/>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McCormick &amp; Company, Incorporated.</w:t>
            </w:r>
          </w:p>
        </w:tc>
      </w:tr>
      <w:tr>
        <w:trPr>
          <w:trHeight w:val="366"/>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Securities Offered</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$500,000,000 aggregate principal amount of 4.150% Notes due 2029.</w:t>
            </w:r>
          </w:p>
        </w:tc>
      </w:tr>
      <w:tr>
        <w:trPr>
          <w:trHeight w:val="366"/>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notes will mature on February 15, 2029.</w:t>
            </w:r>
          </w:p>
        </w:tc>
      </w:tr>
      <w:tr>
        <w:trPr>
          <w:trHeight w:val="366"/>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notes will bear interest at a rate of 4.150% per annum.</w:t>
            </w:r>
          </w:p>
        </w:tc>
      </w:tr>
      <w:tr>
        <w:trPr>
          <w:trHeight w:val="351"/>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Interest on the notes will be paid semi-annually in arrears on February 15 and August 15 of</w:t>
            </w:r>
          </w:p>
        </w:tc>
      </w:tr>
      <w:tr>
        <w:trPr>
          <w:trHeight w:val="182"/>
        </w:trPr>
        <w:tc>
          <w:tcPr>
            <w:tcW w:w="242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each year, beginning on August 15, 2026.</w:t>
            </w:r>
          </w:p>
        </w:tc>
      </w:tr>
      <w:tr>
        <w:trPr>
          <w:trHeight w:val="341"/>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notes will be unsecured senior obligations of ours and will rank equally with all of our</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other unsecured and unsubordinated indebtedness from time to time outstanding. The notes</w:t>
            </w:r>
          </w:p>
        </w:tc>
      </w:tr>
      <w:tr>
        <w:trPr>
          <w:trHeight w:val="182"/>
        </w:trPr>
        <w:tc>
          <w:tcPr>
            <w:tcW w:w="242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will be effectively subordinated to:</w:t>
            </w:r>
          </w:p>
        </w:tc>
      </w:tr>
      <w:tr>
        <w:trPr>
          <w:trHeight w:val="247"/>
        </w:trPr>
        <w:tc>
          <w:tcPr>
            <w:tcW w:w="2420" w:type="dxa"/>
            <w:vAlign w:val="bottom"/>
            <w:tcBorders>
              <w:left w:val="single" w:sz="8" w:color="auto"/>
            </w:tcBorders>
          </w:tcPr>
          <w:p>
            <w:pPr>
              <w:spacing w:after="0"/>
              <w:rPr>
                <w:sz w:val="21"/>
                <w:szCs w:val="21"/>
                <w:color w:val="auto"/>
              </w:rPr>
            </w:pPr>
          </w:p>
        </w:tc>
        <w:tc>
          <w:tcPr>
            <w:tcW w:w="61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   any secured indebtedness to the extent of the value of the assets securing that debt;</w:t>
            </w:r>
          </w:p>
        </w:tc>
      </w:tr>
      <w:tr>
        <w:trPr>
          <w:trHeight w:val="182"/>
        </w:trPr>
        <w:tc>
          <w:tcPr>
            <w:tcW w:w="242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and</w:t>
            </w:r>
          </w:p>
        </w:tc>
      </w:tr>
      <w:tr>
        <w:trPr>
          <w:trHeight w:val="262"/>
        </w:trPr>
        <w:tc>
          <w:tcPr>
            <w:tcW w:w="2420" w:type="dxa"/>
            <w:vAlign w:val="bottom"/>
            <w:tcBorders>
              <w:left w:val="single" w:sz="8" w:color="auto"/>
            </w:tcBorders>
          </w:tcPr>
          <w:p>
            <w:pPr>
              <w:spacing w:after="0"/>
              <w:rPr>
                <w:sz w:val="22"/>
                <w:szCs w:val="22"/>
                <w:color w:val="auto"/>
              </w:rPr>
            </w:pPr>
          </w:p>
        </w:tc>
        <w:tc>
          <w:tcPr>
            <w:tcW w:w="61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   all indebtedness for money borrowed and other liabilities of our subsidiaries.</w:t>
            </w:r>
          </w:p>
        </w:tc>
      </w:tr>
      <w:tr>
        <w:trPr>
          <w:trHeight w:val="341"/>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indenture governing the notes (the “Indenture”) contains covenants that will limit our</w:t>
            </w:r>
          </w:p>
        </w:tc>
      </w:tr>
      <w:tr>
        <w:trPr>
          <w:trHeight w:val="182"/>
        </w:trPr>
        <w:tc>
          <w:tcPr>
            <w:tcW w:w="242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ability to:</w:t>
            </w:r>
          </w:p>
        </w:tc>
      </w:tr>
      <w:tr>
        <w:trPr>
          <w:trHeight w:val="262"/>
        </w:trPr>
        <w:tc>
          <w:tcPr>
            <w:tcW w:w="2420" w:type="dxa"/>
            <w:vAlign w:val="bottom"/>
            <w:tcBorders>
              <w:left w:val="single" w:sz="8" w:color="auto"/>
            </w:tcBorders>
          </w:tcPr>
          <w:p>
            <w:pPr>
              <w:spacing w:after="0"/>
              <w:rPr>
                <w:sz w:val="22"/>
                <w:szCs w:val="22"/>
                <w:color w:val="auto"/>
              </w:rPr>
            </w:pPr>
          </w:p>
        </w:tc>
        <w:tc>
          <w:tcPr>
            <w:tcW w:w="61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   create specified liens securing debt;</w:t>
            </w:r>
          </w:p>
        </w:tc>
      </w:tr>
      <w:tr>
        <w:trPr>
          <w:trHeight w:val="262"/>
        </w:trPr>
        <w:tc>
          <w:tcPr>
            <w:tcW w:w="2420" w:type="dxa"/>
            <w:vAlign w:val="bottom"/>
            <w:tcBorders>
              <w:left w:val="single" w:sz="8" w:color="auto"/>
            </w:tcBorders>
          </w:tcPr>
          <w:p>
            <w:pPr>
              <w:spacing w:after="0"/>
              <w:rPr>
                <w:sz w:val="22"/>
                <w:szCs w:val="22"/>
                <w:color w:val="auto"/>
              </w:rPr>
            </w:pPr>
          </w:p>
        </w:tc>
        <w:tc>
          <w:tcPr>
            <w:tcW w:w="61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   engage in specified sale-leaseback transactions; and</w:t>
            </w:r>
          </w:p>
        </w:tc>
      </w:tr>
      <w:tr>
        <w:trPr>
          <w:trHeight w:val="262"/>
        </w:trPr>
        <w:tc>
          <w:tcPr>
            <w:tcW w:w="2420" w:type="dxa"/>
            <w:vAlign w:val="bottom"/>
            <w:tcBorders>
              <w:left w:val="single" w:sz="8" w:color="auto"/>
            </w:tcBorders>
          </w:tcPr>
          <w:p>
            <w:pPr>
              <w:spacing w:after="0"/>
              <w:rPr>
                <w:sz w:val="22"/>
                <w:szCs w:val="22"/>
                <w:color w:val="auto"/>
              </w:rPr>
            </w:pPr>
          </w:p>
        </w:tc>
        <w:tc>
          <w:tcPr>
            <w:tcW w:w="61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   merge, consolidate or transfer our property and assets substantially as an entirety.</w:t>
            </w:r>
          </w:p>
        </w:tc>
      </w:tr>
      <w:tr>
        <w:trPr>
          <w:trHeight w:val="341"/>
        </w:trPr>
        <w:tc>
          <w:tcPr>
            <w:tcW w:w="2420" w:type="dxa"/>
            <w:vAlign w:val="bottom"/>
            <w:tcBorders>
              <w:left w:val="single" w:sz="8" w:color="auto"/>
            </w:tcBorders>
          </w:tcPr>
          <w:p>
            <w:pPr>
              <w:spacing w:after="0"/>
              <w:rPr>
                <w:sz w:val="24"/>
                <w:szCs w:val="2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These covenants apply to McCormick and, in the case of the limitations on liens and sale-</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leaseback transactions, to certain of our corporate subsidiaries that own Principal</w:t>
            </w:r>
          </w:p>
        </w:tc>
      </w:tr>
      <w:tr>
        <w:trPr>
          <w:trHeight w:val="182"/>
        </w:trPr>
        <w:tc>
          <w:tcPr>
            <w:tcW w:w="242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Properties (as defined in the Indenture).</w:t>
            </w:r>
          </w:p>
        </w:tc>
      </w:tr>
      <w:tr>
        <w:trPr>
          <w:trHeight w:val="341"/>
        </w:trPr>
        <w:tc>
          <w:tcPr>
            <w:tcW w:w="2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Prior to January 15, 2029 (the “Par Call Date”), we will have the option to redeem the</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notes, in whole or in part, at any time or from time to time, at a redemption price equal to</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greater of (1) 100% of the principal amount of the notes to be redeemed and (2) (a) the</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sum of the present values of the remaining scheduled payments of principal and interest</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thereon discounted to, but excluding, the redemption date (assuming the notes matured on</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Par Call Date) on a semi-annual basis (assuming a 360-day year consisting of</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twelve 30-day months) at the Treasury Rate (as defined herein) plus 10 basis points less</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(b) interest accrued to the date of redemption, plus, in each case, accrued and unpaid</w:t>
            </w:r>
          </w:p>
        </w:tc>
      </w:tr>
      <w:tr>
        <w:trPr>
          <w:trHeight w:val="182"/>
        </w:trPr>
        <w:tc>
          <w:tcPr>
            <w:tcW w:w="242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interest thereon, if any, to, but excluding, the redemption date.</w:t>
            </w:r>
          </w:p>
        </w:tc>
      </w:tr>
      <w:tr>
        <w:trPr>
          <w:trHeight w:val="341"/>
        </w:trPr>
        <w:tc>
          <w:tcPr>
            <w:tcW w:w="2420" w:type="dxa"/>
            <w:vAlign w:val="bottom"/>
            <w:tcBorders>
              <w:left w:val="single" w:sz="8" w:color="auto"/>
            </w:tcBorders>
          </w:tcPr>
          <w:p>
            <w:pPr>
              <w:spacing w:after="0"/>
              <w:rPr>
                <w:sz w:val="24"/>
                <w:szCs w:val="2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 addition, on and after the Par Call Date, we will have the option to redeem the notes, in</w:t>
            </w:r>
          </w:p>
        </w:tc>
      </w:tr>
      <w:tr>
        <w:trPr>
          <w:trHeight w:val="167"/>
        </w:trPr>
        <w:tc>
          <w:tcPr>
            <w:tcW w:w="242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whole or in part, at any time or from time to time, at a redemption price equal to 100% of</w:t>
            </w:r>
          </w:p>
        </w:tc>
      </w:tr>
      <w:tr>
        <w:trPr>
          <w:trHeight w:val="182"/>
        </w:trPr>
        <w:tc>
          <w:tcPr>
            <w:tcW w:w="242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principal amount of</w:t>
            </w:r>
          </w:p>
        </w:tc>
      </w:tr>
      <w:tr>
        <w:trPr>
          <w:trHeight w:val="121"/>
        </w:trPr>
        <w:tc>
          <w:tcPr>
            <w:tcW w:w="2420" w:type="dxa"/>
            <w:vAlign w:val="bottom"/>
            <w:tcBorders>
              <w:left w:val="single" w:sz="8" w:color="auto"/>
              <w:bottom w:val="single" w:sz="8" w:color="auto"/>
            </w:tcBorders>
          </w:tcPr>
          <w:p>
            <w:pPr>
              <w:spacing w:after="0"/>
              <w:rPr>
                <w:sz w:val="10"/>
                <w:szCs w:val="10"/>
                <w:color w:val="auto"/>
              </w:rPr>
            </w:pPr>
          </w:p>
        </w:tc>
        <w:tc>
          <w:tcPr>
            <w:tcW w:w="6140" w:type="dxa"/>
            <w:vAlign w:val="bottom"/>
            <w:tcBorders>
              <w:bottom w:val="single" w:sz="8" w:color="auto"/>
              <w:right w:val="single" w:sz="8" w:color="auto"/>
            </w:tcBorders>
          </w:tcPr>
          <w:p>
            <w:pPr>
              <w:spacing w:after="0"/>
              <w:rPr>
                <w:sz w:val="10"/>
                <w:szCs w:val="10"/>
                <w:color w:val="auto"/>
              </w:rPr>
            </w:pPr>
          </w:p>
        </w:tc>
      </w:tr>
      <w:tr>
        <w:trPr>
          <w:trHeight w:val="278"/>
        </w:trPr>
        <w:tc>
          <w:tcPr>
            <w:tcW w:w="2420" w:type="dxa"/>
            <w:vAlign w:val="bottom"/>
          </w:tcPr>
          <w:p>
            <w:pPr>
              <w:spacing w:after="0"/>
              <w:rPr>
                <w:sz w:val="24"/>
                <w:szCs w:val="24"/>
                <w:color w:val="auto"/>
              </w:rPr>
            </w:pPr>
          </w:p>
        </w:tc>
        <w:tc>
          <w:tcPr>
            <w:tcW w:w="61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S-2</w:t>
            </w:r>
          </w:p>
        </w:tc>
      </w:tr>
    </w:tbl>
    <w:p>
      <w:pPr>
        <w:ind w:left="1760"/>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8" w:name="page9"/>
    <w:bookmarkEnd w:id="8"/>
    <w:tbl>
      <w:tblPr>
        <w:tblLayout w:type="fixed"/>
        <w:tblInd w:w="230" w:type="dxa"/>
        <w:tblCellMar>
          <w:top w:w="0" w:type="dxa"/>
          <w:left w:w="0" w:type="dxa"/>
          <w:bottom w:w="0" w:type="dxa"/>
          <w:right w:w="0" w:type="dxa"/>
        </w:tblCellMar>
      </w:tblPr>
      <w:tr>
        <w:trPr>
          <w:trHeight w:val="304"/>
        </w:trPr>
        <w:tc>
          <w:tcPr>
            <w:tcW w:w="2280" w:type="dxa"/>
            <w:vAlign w:val="bottom"/>
            <w:tcBorders>
              <w:top w:val="single" w:sz="8" w:color="auto"/>
              <w:left w:val="single" w:sz="8" w:color="auto"/>
            </w:tcBorders>
          </w:tcPr>
          <w:p>
            <w:pPr>
              <w:spacing w:after="0"/>
              <w:rPr>
                <w:sz w:val="24"/>
                <w:szCs w:val="24"/>
                <w:color w:val="auto"/>
              </w:rPr>
            </w:pPr>
          </w:p>
        </w:tc>
        <w:tc>
          <w:tcPr>
            <w:tcW w:w="628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the notes to be redeemed, plus accrued and unpaid interest thereon, if any, to, but</w:t>
            </w:r>
          </w:p>
        </w:tc>
      </w:tr>
      <w:tr>
        <w:trPr>
          <w:trHeight w:val="182"/>
        </w:trPr>
        <w:tc>
          <w:tcPr>
            <w:tcW w:w="2280" w:type="dxa"/>
            <w:vAlign w:val="bottom"/>
            <w:tcBorders>
              <w:left w:val="single" w:sz="8" w:color="auto"/>
            </w:tcBorders>
          </w:tcPr>
          <w:p>
            <w:pPr>
              <w:spacing w:after="0"/>
              <w:rPr>
                <w:sz w:val="15"/>
                <w:szCs w:val="15"/>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excluding, the date of redemption. See “Description of Notes—Optional Redemption.”</w:t>
            </w:r>
          </w:p>
        </w:tc>
      </w:tr>
      <w:tr>
        <w:trPr>
          <w:trHeight w:val="351"/>
        </w:trPr>
        <w:tc>
          <w:tcPr>
            <w:tcW w:w="22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If a Change of Control Triggering Event occurs, we will be required to make an offer to</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purchase the notes at a price equal to 101% of their principal amount, plus accrued and</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unpaid interest, if any, to, but excluding, the date of repurchase, as described under the</w:t>
            </w:r>
          </w:p>
        </w:tc>
      </w:tr>
      <w:tr>
        <w:trPr>
          <w:trHeight w:val="182"/>
        </w:trPr>
        <w:tc>
          <w:tcPr>
            <w:tcW w:w="2280" w:type="dxa"/>
            <w:vAlign w:val="bottom"/>
            <w:tcBorders>
              <w:left w:val="single" w:sz="8" w:color="auto"/>
            </w:tcBorders>
          </w:tcPr>
          <w:p>
            <w:pPr>
              <w:spacing w:after="0"/>
              <w:rPr>
                <w:sz w:val="15"/>
                <w:szCs w:val="15"/>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heading “Description of Notes—Change of Control Repurchase.”</w:t>
            </w:r>
          </w:p>
        </w:tc>
      </w:tr>
      <w:tr>
        <w:trPr>
          <w:trHeight w:val="341"/>
        </w:trPr>
        <w:tc>
          <w:tcPr>
            <w:tcW w:w="22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We estimate that the net proceeds to us from the offering will be approximately $496.4</w:t>
            </w:r>
          </w:p>
        </w:tc>
      </w:tr>
      <w:tr>
        <w:trPr>
          <w:trHeight w:val="182"/>
        </w:trPr>
        <w:tc>
          <w:tcPr>
            <w:tcW w:w="2280" w:type="dxa"/>
            <w:vAlign w:val="bottom"/>
            <w:tcBorders>
              <w:left w:val="single" w:sz="8" w:color="auto"/>
            </w:tcBorders>
          </w:tcPr>
          <w:p>
            <w:pPr>
              <w:spacing w:after="0"/>
              <w:rPr>
                <w:sz w:val="15"/>
                <w:szCs w:val="15"/>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million after deducting the underwriting discount and our estimated offering expenses.</w:t>
            </w:r>
          </w:p>
        </w:tc>
      </w:tr>
      <w:tr>
        <w:trPr>
          <w:trHeight w:val="341"/>
        </w:trPr>
        <w:tc>
          <w:tcPr>
            <w:tcW w:w="2280" w:type="dxa"/>
            <w:vAlign w:val="bottom"/>
            <w:tcBorders>
              <w:left w:val="single" w:sz="8" w:color="auto"/>
            </w:tcBorders>
          </w:tcPr>
          <w:p>
            <w:pPr>
              <w:spacing w:after="0"/>
              <w:rPr>
                <w:sz w:val="24"/>
                <w:szCs w:val="2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We intend to use the net proceeds from this offering to redeem a portion of the outstanding</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$500 million aggregate principal amount of our 0.90% Notes due 2026 that mature on</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February 15, 2026, and to pay accrued interest, fees and expenses associated with such</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redemption. This prospectus supplement is not a notice of redemption with respect to our</w:t>
            </w:r>
          </w:p>
        </w:tc>
      </w:tr>
      <w:tr>
        <w:trPr>
          <w:trHeight w:val="182"/>
        </w:trPr>
        <w:tc>
          <w:tcPr>
            <w:tcW w:w="2280" w:type="dxa"/>
            <w:vAlign w:val="bottom"/>
            <w:tcBorders>
              <w:left w:val="single" w:sz="8" w:color="auto"/>
            </w:tcBorders>
          </w:tcPr>
          <w:p>
            <w:pPr>
              <w:spacing w:after="0"/>
              <w:rPr>
                <w:sz w:val="15"/>
                <w:szCs w:val="15"/>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0.90% Notes due 2026. See “Use of Proceeds.”</w:t>
            </w:r>
          </w:p>
        </w:tc>
      </w:tr>
      <w:tr>
        <w:trPr>
          <w:trHeight w:val="341"/>
        </w:trPr>
        <w:tc>
          <w:tcPr>
            <w:tcW w:w="22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Investing in the notes involves risks. You should carefully consider all of the other</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information in this prospectus supplement, the accompanying prospectus and in the</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documents incorporated by reference herein and therein. In particular, see “Risk Factors”</w:t>
            </w:r>
          </w:p>
        </w:tc>
      </w:tr>
      <w:tr>
        <w:trPr>
          <w:trHeight w:val="167"/>
        </w:trPr>
        <w:tc>
          <w:tcPr>
            <w:tcW w:w="228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beginning on page S-4 of this prospectus supplement for a discussion of the factors you</w:t>
            </w:r>
          </w:p>
        </w:tc>
      </w:tr>
      <w:tr>
        <w:trPr>
          <w:trHeight w:val="182"/>
        </w:trPr>
        <w:tc>
          <w:tcPr>
            <w:tcW w:w="2280" w:type="dxa"/>
            <w:vAlign w:val="bottom"/>
            <w:tcBorders>
              <w:left w:val="single" w:sz="8" w:color="auto"/>
            </w:tcBorders>
          </w:tcPr>
          <w:p>
            <w:pPr>
              <w:spacing w:after="0"/>
              <w:rPr>
                <w:sz w:val="15"/>
                <w:szCs w:val="15"/>
                <w:color w:val="auto"/>
              </w:rPr>
            </w:pPr>
          </w:p>
        </w:tc>
        <w:tc>
          <w:tcPr>
            <w:tcW w:w="62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should carefully consider before deciding to invest in the notes.</w:t>
            </w:r>
          </w:p>
        </w:tc>
      </w:tr>
      <w:tr>
        <w:trPr>
          <w:trHeight w:val="121"/>
        </w:trPr>
        <w:tc>
          <w:tcPr>
            <w:tcW w:w="2280" w:type="dxa"/>
            <w:vAlign w:val="bottom"/>
            <w:tcBorders>
              <w:left w:val="single" w:sz="8" w:color="auto"/>
              <w:bottom w:val="single" w:sz="8" w:color="auto"/>
            </w:tcBorders>
          </w:tcPr>
          <w:p>
            <w:pPr>
              <w:spacing w:after="0"/>
              <w:rPr>
                <w:sz w:val="10"/>
                <w:szCs w:val="10"/>
                <w:color w:val="auto"/>
              </w:rPr>
            </w:pPr>
          </w:p>
        </w:tc>
        <w:tc>
          <w:tcPr>
            <w:tcW w:w="6280" w:type="dxa"/>
            <w:vAlign w:val="bottom"/>
            <w:tcBorders>
              <w:bottom w:val="single" w:sz="8" w:color="auto"/>
              <w:right w:val="single" w:sz="8" w:color="auto"/>
            </w:tcBorders>
          </w:tcPr>
          <w:p>
            <w:pPr>
              <w:spacing w:after="0"/>
              <w:rPr>
                <w:sz w:val="10"/>
                <w:szCs w:val="10"/>
                <w:color w:val="auto"/>
              </w:rPr>
            </w:pPr>
          </w:p>
        </w:tc>
      </w:tr>
      <w:tr>
        <w:trPr>
          <w:trHeight w:val="278"/>
        </w:trPr>
        <w:tc>
          <w:tcPr>
            <w:tcW w:w="2280" w:type="dxa"/>
            <w:vAlign w:val="bottom"/>
          </w:tcPr>
          <w:p>
            <w:pPr>
              <w:spacing w:after="0"/>
              <w:rPr>
                <w:sz w:val="24"/>
                <w:szCs w:val="24"/>
                <w:color w:val="auto"/>
              </w:rPr>
            </w:pPr>
          </w:p>
        </w:tc>
        <w:tc>
          <w:tcPr>
            <w:tcW w:w="628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S-3</w:t>
            </w:r>
          </w:p>
        </w:tc>
      </w:tr>
    </w:tbl>
    <w:p>
      <w:pPr>
        <w:ind w:left="1900"/>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RISK FACTORS</w:t>
      </w:r>
    </w:p>
    <w:p>
      <w:pPr>
        <w:spacing w:after="0" w:line="174" w:lineRule="exact"/>
        <w:rPr>
          <w:sz w:val="20"/>
          <w:szCs w:val="20"/>
          <w:color w:val="auto"/>
        </w:rPr>
      </w:pPr>
    </w:p>
    <w:p>
      <w:pPr>
        <w:ind w:left="240" w:right="359" w:firstLine="341"/>
        <w:spacing w:after="0" w:line="258" w:lineRule="auto"/>
        <w:rPr>
          <w:sz w:val="20"/>
          <w:szCs w:val="20"/>
          <w:color w:val="auto"/>
        </w:rPr>
      </w:pPr>
      <w:r>
        <w:rPr>
          <w:rFonts w:ascii="Times New Roman" w:cs="Times New Roman" w:eastAsia="Times New Roman" w:hAnsi="Times New Roman"/>
          <w:sz w:val="14"/>
          <w:szCs w:val="14"/>
          <w:i w:val="1"/>
          <w:iCs w:val="1"/>
          <w:color w:val="auto"/>
        </w:rPr>
        <w:t>Investing in the notes involves various risks. You should carefully consider the risks and uncertainties described below and the other information in this prospectus supplement, the accompanying prospectus and in the documents incorporated by reference herein and therein, including those risks identified under “Risk Factors” in our Annual Report on Form 10-K for the fiscal year ended November 30, 2025 before deciding whether to invest in the notes. Unless the context suggests otherwise, references to shares of our common stock mean our Common Stock, par value $0.01 per share (“Common Stock”), and our Common Stock Non-Voting, par value $0.01 per share (“Common Stock Non-Voting”).</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the Notes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There may not be any trading market for the notes; many factors affect the trading and market value of the notes.</w:t>
      </w:r>
    </w:p>
    <w:p>
      <w:pPr>
        <w:spacing w:after="0" w:line="92"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The notes constitute a new issue of securities for which there is no existing market. We do not intend to list the notes on a securities exchange or on any automated dealer quotation system. We cannot assure you that a trading market for the notes will ever develop or be maintained if developed. The underwriters have advised us that they currently intend to make a market in the notes. However, the underwriters are not obligated to do so and any market-making with respect to the notes may be discontinued at any time without notice. If no active trading market develops, holders of the notes may be unable to resell the notes at any price or at their fair market value.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liquidity of the trading market, if any, and future trading prices of the notes will depend on many factors. These factors include:</w:t>
      </w:r>
    </w:p>
    <w:p>
      <w:pPr>
        <w:spacing w:after="0" w:line="101" w:lineRule="exact"/>
        <w:rPr>
          <w:sz w:val="20"/>
          <w:szCs w:val="20"/>
          <w:color w:val="auto"/>
        </w:rPr>
      </w:pPr>
    </w:p>
    <w:p>
      <w:pPr>
        <w:ind w:left="980" w:hanging="327"/>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remaining to the maturity of the notes;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amount of notes;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features of the notes;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direction and volatility of market interest rates generally;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results of operations, business, prospects and credit quality.</w:t>
      </w:r>
    </w:p>
    <w:p>
      <w:pPr>
        <w:spacing w:after="0" w:line="174"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There may be a limited number of buyers when you decide to sell the notes. This may affect the price you receive for the notes or your ability to sell the notes at all. You should not purchase notes unless you understand and know you can bear all of the investment risks involving the notes.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Changes in our credit ratings or the debt markets could adversely affect the price of the notes.</w:t>
      </w:r>
    </w:p>
    <w:p>
      <w:pPr>
        <w:spacing w:after="0" w:line="92" w:lineRule="exact"/>
        <w:rPr>
          <w:sz w:val="20"/>
          <w:szCs w:val="20"/>
          <w:color w:val="auto"/>
        </w:rPr>
      </w:pPr>
    </w:p>
    <w:p>
      <w:pPr>
        <w:jc w:val="both"/>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The condition of the financial markets and prevailing interest rates have fluctuated in the past and are likely to fluctuate in the future. In general, as market interest rates rise, notes bearing interest at a fixed rate generally decline in value. Consequently, if you purchase the notes and market interest rates increase, the market value of your notes may decline.</w:t>
      </w:r>
    </w:p>
    <w:p>
      <w:pPr>
        <w:spacing w:after="0" w:line="136" w:lineRule="exact"/>
        <w:rPr>
          <w:sz w:val="20"/>
          <w:szCs w:val="20"/>
          <w:color w:val="auto"/>
        </w:rPr>
      </w:pPr>
    </w:p>
    <w:p>
      <w:pPr>
        <w:ind w:left="240" w:right="299" w:firstLine="341"/>
        <w:spacing w:after="0" w:line="254" w:lineRule="auto"/>
        <w:rPr>
          <w:sz w:val="20"/>
          <w:szCs w:val="20"/>
          <w:color w:val="auto"/>
        </w:rPr>
      </w:pPr>
      <w:r>
        <w:rPr>
          <w:rFonts w:ascii="Times New Roman" w:cs="Times New Roman" w:eastAsia="Times New Roman" w:hAnsi="Times New Roman"/>
          <w:sz w:val="14"/>
          <w:szCs w:val="14"/>
          <w:color w:val="auto"/>
        </w:rPr>
        <w:t>In addition, credit rating agencies periodically review and update their ratings for the companies that they follow, including us, and we cannot assure you that any rating will not be changed or withdrawn by a rating agency in the future if, in its judgment, circumstances warrant. The credit rating agencies also evaluate our industry as a whole and may change their credit rating for us based on their overall view of our industry. Moreover, such credit ratings are not recommendations to buy, sell or hold the notes or any other securities. If any credit rating agencies downgrade our credit ratings or otherwise indicate that its outlook for that rating is negative, it could have a material adverse effect on the market price of the notes and our costs and availability of capital, which could in turn have a material adverse effect on our financial condition, liquidity and results of operations and our ability to satisfy our debt service obligations (including payments on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238" w:right="1440"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We may incur additional unsecured indebtedness.</w:t>
      </w:r>
    </w:p>
    <w:p>
      <w:pPr>
        <w:spacing w:after="0" w:line="92" w:lineRule="exact"/>
        <w:rPr>
          <w:sz w:val="20"/>
          <w:szCs w:val="20"/>
          <w:color w:val="auto"/>
        </w:rPr>
      </w:pPr>
    </w:p>
    <w:p>
      <w:pPr>
        <w:jc w:val="both"/>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The Indenture does not restrict the amount of unsecured debt that we or our subsidiaries may incur. If we or our subsidiaries incur additional debt, it may be more difficult for us to satisfy our obligations with respect to the notes. Furthermore, the incurrence of additional debt may cause a decline in the trading price of the notes and the credit rating of the notes may be lowered or withdrawn.</w:t>
      </w:r>
    </w:p>
    <w:p>
      <w:pPr>
        <w:spacing w:after="0" w:line="218" w:lineRule="exact"/>
        <w:rPr>
          <w:sz w:val="20"/>
          <w:szCs w:val="20"/>
          <w:color w:val="auto"/>
        </w:rPr>
      </w:pPr>
    </w:p>
    <w:p>
      <w:pPr>
        <w:ind w:left="240" w:right="77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notes are our obligations and not obligations of our subsidiaries and will be structurally subordinated to the claims of our subsidiaries’ creditors.</w:t>
      </w:r>
    </w:p>
    <w:p>
      <w:pPr>
        <w:spacing w:after="0" w:line="40" w:lineRule="exact"/>
        <w:rPr>
          <w:sz w:val="20"/>
          <w:szCs w:val="20"/>
          <w:color w:val="auto"/>
        </w:rPr>
      </w:pPr>
    </w:p>
    <w:p>
      <w:pPr>
        <w:ind w:left="240" w:right="299" w:firstLine="341"/>
        <w:spacing w:after="0" w:line="254" w:lineRule="auto"/>
        <w:rPr>
          <w:sz w:val="20"/>
          <w:szCs w:val="20"/>
          <w:color w:val="auto"/>
        </w:rPr>
      </w:pPr>
      <w:r>
        <w:rPr>
          <w:rFonts w:ascii="Times New Roman" w:cs="Times New Roman" w:eastAsia="Times New Roman" w:hAnsi="Times New Roman"/>
          <w:sz w:val="14"/>
          <w:szCs w:val="14"/>
          <w:color w:val="auto"/>
        </w:rPr>
        <w:t>The notes are exclusively our obligations and not those of our subsidiaries. Our subsidiaries are separate and distinct legal entities. Our subsidiaries have no obligation to pay any amounts due on the notes or to provide us with funds to pay our obligations, whether by dividends, distributions, loans or other payments. In addition, any dividend payments, distributions, loans or advances to us by our subsidiaries in the future will require the generation of future earnings by our subsidiaries and may require regulatory approval. The notes are not guaranteed by any of our subsidiaries. As a result, the notes will be structurally subordinated to all existing and future liabilities and obligations of our subsidiaries, which means that our subsidiaries’ creditors will be paid from our subsidiaries’ assets before holders of the notes would have any claims to those assets. The Indenture does not restrict the amount of unsecured debt or other obligations that any of our subsidiaries may incur. We anticipate that from time to time our subsidiaries may incur additional debt and liabilities, all of which would rank structurally senior to the notes.</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 notes offered hereby will be unsecured and effectively subordinated in right of payment to our future secured debt, if any.</w:t>
      </w:r>
    </w:p>
    <w:p>
      <w:pPr>
        <w:spacing w:after="0" w:line="92" w:lineRule="exact"/>
        <w:rPr>
          <w:sz w:val="20"/>
          <w:szCs w:val="20"/>
          <w:color w:val="auto"/>
        </w:rPr>
      </w:pPr>
    </w:p>
    <w:p>
      <w:pPr>
        <w:ind w:left="240" w:right="299" w:firstLine="341"/>
        <w:spacing w:after="0" w:line="254" w:lineRule="auto"/>
        <w:rPr>
          <w:sz w:val="20"/>
          <w:szCs w:val="20"/>
          <w:color w:val="auto"/>
        </w:rPr>
      </w:pPr>
      <w:r>
        <w:rPr>
          <w:rFonts w:ascii="Times New Roman" w:cs="Times New Roman" w:eastAsia="Times New Roman" w:hAnsi="Times New Roman"/>
          <w:sz w:val="14"/>
          <w:szCs w:val="14"/>
          <w:color w:val="auto"/>
        </w:rPr>
        <w:t>The notes are not secured by any of our assets. Any claims of future secured lenders with respect to assets securing their loans will be prior to any claim of the holders of the notes with respect to those assets. In the event that we are declared bankrupt, become insolvent or are liquidated or reorganized, any indebtedness that is effectively senior to the notes will be entitled to be paid in full from the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 In that event, it is possible that there will be no assets remaining from which claims of the holders of notes can be satisfied or, if any assets remain, the remaining assets might be insufficient to satisfy those claims in full.</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flow to meet our debt service obligations.</w:t>
      </w:r>
    </w:p>
    <w:p>
      <w:pPr>
        <w:spacing w:after="0" w:line="92"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There can be no assurance in the future that we will generate sufficient cash flow from operations or through asset sales to meet our debt service obligations. Our present indebtedness and projected future borrowings could have important adverse consequences to us, such as:</w:t>
      </w:r>
    </w:p>
    <w:p>
      <w:pPr>
        <w:spacing w:after="0" w:line="52" w:lineRule="exact"/>
        <w:rPr>
          <w:sz w:val="20"/>
          <w:szCs w:val="20"/>
          <w:color w:val="auto"/>
        </w:rPr>
      </w:pPr>
    </w:p>
    <w:p>
      <w:pPr>
        <w:ind w:left="980" w:hanging="327"/>
        <w:spacing w:after="0"/>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for us to satisfy our obligations with respect to our existing indebtedness;</w:t>
      </w:r>
    </w:p>
    <w:p>
      <w:pPr>
        <w:spacing w:after="0" w:line="100"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without restructuring the covenants in our existing indebtedness to permit the incurrence of such financing;</w:t>
      </w:r>
    </w:p>
    <w:p>
      <w:pPr>
        <w:spacing w:after="0" w:line="52" w:lineRule="exact"/>
        <w:rPr>
          <w:rFonts w:ascii="Times New Roman" w:cs="Times New Roman" w:eastAsia="Times New Roman" w:hAnsi="Times New Roman"/>
          <w:sz w:val="14"/>
          <w:szCs w:val="14"/>
          <w:color w:val="auto"/>
        </w:rPr>
      </w:pPr>
    </w:p>
    <w:p>
      <w:pPr>
        <w:ind w:left="980" w:right="399" w:hanging="327"/>
        <w:spacing w:after="0" w:line="281"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our cash flow to be used for principal and interest payments on the debt, thereby reducing our ability to use cash flow to fund working capital, capital expenditures and general corporate requirements;</w:t>
      </w:r>
    </w:p>
    <w:p>
      <w:pPr>
        <w:spacing w:after="0" w:line="52"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respond to changing business, industry and economic conditions and to withstand competitive pressures, which may affect our financial condition;</w:t>
      </w:r>
    </w:p>
    <w:p>
      <w:pPr>
        <w:spacing w:after="0" w:line="52"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us to incur higher interest expense in the event of increases in interest rates on our borrowings that have variable interest rates or in the event of refinancing existing debt at higher interest rates;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38" w:right="1440" w:bottom="1440" w:gutter="0" w:footer="0" w:header="0"/>
        </w:sectPr>
      </w:pPr>
    </w:p>
    <w:bookmarkStart w:id="11" w:name="page12"/>
    <w:bookmarkEnd w:id="11"/>
    <w:p>
      <w:pPr>
        <w:ind w:left="980" w:hanging="327"/>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limiting our ability to make investments, dispose of assets, pay cash dividends or repurchase stock;</w:t>
      </w:r>
    </w:p>
    <w:p>
      <w:pPr>
        <w:spacing w:after="0" w:line="100" w:lineRule="exact"/>
        <w:rPr>
          <w:rFonts w:ascii="Times New Roman" w:cs="Times New Roman" w:eastAsia="Times New Roman" w:hAnsi="Times New Roman"/>
          <w:sz w:val="14"/>
          <w:szCs w:val="14"/>
          <w:color w:val="auto"/>
        </w:rPr>
      </w:pPr>
    </w:p>
    <w:p>
      <w:pPr>
        <w:ind w:left="980" w:right="999" w:hanging="327"/>
        <w:spacing w:after="0" w:line="281" w:lineRule="auto"/>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downturns in our business, our industry or the general economy and restricting us from making improvements or acquisitions or exploring business opportunities;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to competitors with less debt or greater resources; and</w:t>
      </w:r>
    </w:p>
    <w:p>
      <w:pPr>
        <w:spacing w:after="0" w:line="100" w:lineRule="exact"/>
        <w:rPr>
          <w:rFonts w:ascii="Times New Roman" w:cs="Times New Roman" w:eastAsia="Times New Roman" w:hAnsi="Times New Roman"/>
          <w:sz w:val="14"/>
          <w:szCs w:val="14"/>
          <w:color w:val="auto"/>
        </w:rPr>
      </w:pPr>
    </w:p>
    <w:p>
      <w:pPr>
        <w:ind w:left="980" w:right="459" w:hanging="327"/>
        <w:spacing w:after="0" w:line="281" w:lineRule="auto"/>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us to financial and other restrictive covenants in our indebtedness, the non-compliance with which could result in an event of default.</w:t>
      </w:r>
    </w:p>
    <w:p>
      <w:pPr>
        <w:spacing w:after="0" w:line="125"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We cannot assure you that our business will generate sufficient cash flow from operations to enable us to pay our indebtedness or to fund our other liquidity needs. If we fail to generate sufficient cash flow from future operations to meet our debt service obligations, we may need to refinance all or a portion of our debt on or before maturity. We cannot assure you that we will be able to refinance any of our debt on attractive terms, commercially reasonable terms or at all. Our future operating performance and our ability to service, extend or refinance our indebtedness will be subject to future economic conditions and to financial, business and other factors, many of which are beyond our control.</w:t>
      </w:r>
    </w:p>
    <w:p>
      <w:pPr>
        <w:spacing w:after="0" w:line="224" w:lineRule="exact"/>
        <w:rPr>
          <w:sz w:val="20"/>
          <w:szCs w:val="20"/>
          <w:color w:val="auto"/>
        </w:rPr>
      </w:pPr>
    </w:p>
    <w:p>
      <w:pPr>
        <w:ind w:left="240" w:right="29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terms of the Indenture and the notes provide limited protection against significant corporate events that could adversely impact your investment in the notes.</w:t>
      </w:r>
    </w:p>
    <w:p>
      <w:pPr>
        <w:spacing w:after="0" w:line="40"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While the Indenture and the notes contain terms intended to provide protection to the holders of the notes upon the occurrence of certain events involving significant corporate transactions, such terms are limited and may not be sufficient to protect your investment in the notes. The definition of the term “Change of Control Triggering Event” (as defined in “Description of Notes—Change of Control Repurchase”) does not cover all possible transactions (such as acquisitions by us or recapitalizations) that could affect the value of your notes. If we were to enter into a significant corporate transaction that would negatively affect the value of the notes but would not constitute a Change of Control Triggering Event, we would not be required to offer to repurchase your notes prior to their maturity.</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Furthermore, the Indenture for the notes does not, among other things:</w:t>
      </w:r>
    </w:p>
    <w:p>
      <w:pPr>
        <w:spacing w:after="0" w:line="101" w:lineRule="exact"/>
        <w:rPr>
          <w:sz w:val="20"/>
          <w:szCs w:val="20"/>
          <w:color w:val="auto"/>
        </w:rPr>
      </w:pPr>
    </w:p>
    <w:p>
      <w:pPr>
        <w:ind w:left="980" w:hanging="327"/>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any specified financial ratios or specified levels of net worth, revenues, income, cash flow or liquidity;</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incur unsecured indebtedness that is equal in right of payment to the notes;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ability of our subsidiaries to service our other indebtedness;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repurchase or prepay any other of our securities or other indebtedness; or</w:t>
      </w:r>
    </w:p>
    <w:p>
      <w:pPr>
        <w:spacing w:after="0" w:line="100"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make investments or to repurchase or pay dividends or make other payments in respect of our common stock or other securities ranking junior to the notes.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repurchase the notes upon a Change of Control Triggering Event.</w:t>
      </w:r>
    </w:p>
    <w:p>
      <w:pPr>
        <w:spacing w:after="0" w:line="92"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Upon the occurrence of specific kinds of change of control events, each holder of notes will have the right to require us to repurchase all or any part of such holder’s notes at a price equal to 101% of their principal amount, plus accrued and unpaid interest, if any, to, but excluding, the date of repurchase. If we experience a Change of Control Triggering Event, there can be no assurance that we would have sufficient financial resources available to satisfy our obligations to repurchase the notes. In addition, our ability to repurchase the notes for cash may be limited by law or by the terms of other agreements relating to our indebtedness outstanding at that time. Our failure to repurchase the notes as required under the Indenture would result in a default under the Indenture, which could have material adverse consequences for us and the holders of the notes. See “Description of Notes— Change of Control Repurchase” in this prospectus supplement.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40" w:right="1440"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Redemption of the notes may adversely affect your expected return on such notes.</w:t>
      </w:r>
    </w:p>
    <w:p>
      <w:pPr>
        <w:spacing w:after="0" w:line="92" w:lineRule="exact"/>
        <w:rPr>
          <w:sz w:val="20"/>
          <w:szCs w:val="20"/>
          <w:color w:val="auto"/>
        </w:rPr>
      </w:pPr>
    </w:p>
    <w:p>
      <w:pPr>
        <w:ind w:left="240" w:right="279" w:firstLine="341"/>
        <w:spacing w:after="0" w:line="295" w:lineRule="auto"/>
        <w:rPr>
          <w:sz w:val="20"/>
          <w:szCs w:val="20"/>
          <w:color w:val="auto"/>
        </w:rPr>
      </w:pPr>
      <w:r>
        <w:rPr>
          <w:rFonts w:ascii="Times New Roman" w:cs="Times New Roman" w:eastAsia="Times New Roman" w:hAnsi="Times New Roman"/>
          <w:sz w:val="13"/>
          <w:szCs w:val="13"/>
          <w:color w:val="auto"/>
        </w:rPr>
        <w:t>We have the right to redeem some or all of the notes prior to maturity on the terms set forth in this prospectus supplement. We may redeem the notes at times when prevailing interest rates may be relatively low. Accordingly, you may not be able to reinvest the amount received upon a redemption in a comparable security at an effective interest rate as high as that of the notes being redeemed. See “Description of Notes—Optional Redemption.”</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8"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USE OF PROCEEDS</w:t>
      </w:r>
    </w:p>
    <w:p>
      <w:pPr>
        <w:spacing w:after="0" w:line="176" w:lineRule="exact"/>
        <w:rPr>
          <w:sz w:val="20"/>
          <w:szCs w:val="20"/>
          <w:color w:val="auto"/>
        </w:rPr>
      </w:pPr>
    </w:p>
    <w:p>
      <w:pPr>
        <w:ind w:left="240" w:right="619" w:firstLine="341"/>
        <w:spacing w:after="0" w:line="281" w:lineRule="auto"/>
        <w:rPr>
          <w:sz w:val="20"/>
          <w:szCs w:val="20"/>
          <w:color w:val="auto"/>
        </w:rPr>
      </w:pPr>
      <w:r>
        <w:rPr>
          <w:rFonts w:ascii="Times New Roman" w:cs="Times New Roman" w:eastAsia="Times New Roman" w:hAnsi="Times New Roman"/>
          <w:sz w:val="14"/>
          <w:szCs w:val="14"/>
          <w:color w:val="auto"/>
        </w:rPr>
        <w:t>We estimate the net proceeds to us from the offering will be approximately $496.4 million after deducting the underwriting discount and our estimated offering expenses.</w:t>
      </w:r>
    </w:p>
    <w:p>
      <w:pPr>
        <w:spacing w:after="0" w:line="125"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We intend to use the net proceeds from this offering to redeem a portion of the outstanding $500 million aggregate principal amount of our 0.90% Notes due 2026 that mature on February 15, 2026, and to pay accrued interest, fees and expenses associated with such redemption. This prospectus supplement is not a notice of redemption with respect to our 0.90% Notes due 2026.</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38"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NOTES</w:t>
      </w:r>
    </w:p>
    <w:p>
      <w:pPr>
        <w:spacing w:after="0" w:line="174" w:lineRule="exact"/>
        <w:rPr>
          <w:sz w:val="20"/>
          <w:szCs w:val="20"/>
          <w:color w:val="auto"/>
        </w:rPr>
      </w:pPr>
    </w:p>
    <w:p>
      <w:pPr>
        <w:ind w:left="240" w:right="299" w:firstLine="341"/>
        <w:spacing w:after="0" w:line="279" w:lineRule="auto"/>
        <w:rPr>
          <w:sz w:val="20"/>
          <w:szCs w:val="20"/>
          <w:color w:val="auto"/>
        </w:rPr>
      </w:pPr>
      <w:r>
        <w:rPr>
          <w:rFonts w:ascii="Times New Roman" w:cs="Times New Roman" w:eastAsia="Times New Roman" w:hAnsi="Times New Roman"/>
          <w:sz w:val="13"/>
          <w:szCs w:val="13"/>
          <w:i w:val="1"/>
          <w:iCs w:val="1"/>
          <w:color w:val="auto"/>
        </w:rPr>
        <w:t>The following description of the particular terms of the notes we are offering supplements and, to the extent inconsistent, supersedes the description of the general terms of the debt securities set forth under the section entitled “Description of Debt Securities” set forth in the accompanying prospectus. You should read the accompanying prospectus in conjunction with this prospectus supplement and any free writing prospectuses we provide to you. Because this is a summary, it may not contain all of the information that you should consider before investing in the notes. You should also read the entire Indenture, including the definitions of terms, before investing in the notes. As used in this section, the terms “McCormick,” “we,” “our” and “us” refer to McCormick &amp; Company, Incorporated and do not, unless the context requires or as otherwise expressly stated, include its subsidiaries.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are offering $500,000,000 aggregate principal amount of 4.150% Notes due 2029 (the “notes”).</w:t>
      </w:r>
    </w:p>
    <w:p>
      <w:pPr>
        <w:spacing w:after="0" w:line="174" w:lineRule="exact"/>
        <w:rPr>
          <w:sz w:val="20"/>
          <w:szCs w:val="20"/>
          <w:color w:val="auto"/>
        </w:rPr>
      </w:pPr>
    </w:p>
    <w:p>
      <w:pPr>
        <w:ind w:left="240" w:right="359" w:firstLine="341"/>
        <w:spacing w:after="0" w:line="255" w:lineRule="auto"/>
        <w:rPr>
          <w:sz w:val="20"/>
          <w:szCs w:val="20"/>
          <w:color w:val="auto"/>
        </w:rPr>
      </w:pPr>
      <w:r>
        <w:rPr>
          <w:rFonts w:ascii="Times New Roman" w:cs="Times New Roman" w:eastAsia="Times New Roman" w:hAnsi="Times New Roman"/>
          <w:sz w:val="14"/>
          <w:szCs w:val="14"/>
          <w:color w:val="auto"/>
        </w:rPr>
        <w:t>The notes will be issued as a separate series under the Indenture, dated as of July 8, 2011, as it may be supplemented from time to time, between us and U.S. Bank Trust Company, National Association, as successor in interest to U.S. Bank National Association, as Trustee. The Indenture is an exhibit to the registration statement of which the accompanying prospectus is a part. The Indenture does not limit the amount of debt securities that we may issue under the Indenture, and we may, without the consent of the holders of the notes, reopen this series of notes and issue additional notes on the same terms and conditions (except the public offering price, issue date and, if applicable, the initial interest payment date) and with the same CUSIP number as the notes being offered hereby.</w:t>
      </w:r>
    </w:p>
    <w:p>
      <w:pPr>
        <w:spacing w:after="0" w:line="146" w:lineRule="exact"/>
        <w:rPr>
          <w:sz w:val="20"/>
          <w:szCs w:val="20"/>
          <w:color w:val="auto"/>
        </w:rPr>
      </w:pPr>
    </w:p>
    <w:p>
      <w:pPr>
        <w:ind w:left="240" w:right="239" w:firstLine="341"/>
        <w:spacing w:after="0" w:line="257" w:lineRule="auto"/>
        <w:rPr>
          <w:sz w:val="20"/>
          <w:szCs w:val="20"/>
          <w:color w:val="auto"/>
        </w:rPr>
      </w:pPr>
      <w:r>
        <w:rPr>
          <w:rFonts w:ascii="Times New Roman" w:cs="Times New Roman" w:eastAsia="Times New Roman" w:hAnsi="Times New Roman"/>
          <w:sz w:val="14"/>
          <w:szCs w:val="14"/>
          <w:color w:val="auto"/>
        </w:rPr>
        <w:t>The notes will be unsecured senior obligations of ours and will rank equally with all of our other unsecured and unsubordinated indebtedness from time to time outstanding. The notes are not guaranteed by any of our subsidiaries. The notes will be effectively subordinated in right of payment to all of our secured indebtedness to the extent of the value of the assets securing that debt and to all indebtedness for money borrowed and other liabilities of our subsidiaries. Except as described in the accompanying prospectus under “Description of Debt Securities—Certain Covenants,” the Indenture does not restrict the amount of secured or unsecured debt that we or our subsidiaries may incur.</w:t>
      </w:r>
    </w:p>
    <w:p>
      <w:pPr>
        <w:spacing w:after="0" w:line="143"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The notes will be issued only in fully registered form without coupons, in minimum denominations of $2,000 and integral multiples of $1,000 in excess thereof. Notices or demands to or upon us with respect to the notes and the Indenture may be served and, in the event that notes are issued in definitive certificated form, notes may be surrendered for payment, registration of transfer or exchange, at the office or agency maintained by us for this purpose, currently the office of the Trustee, located at U.S. Bank, Global Corporate Trust Services, 111 Fillmore Ave E, St. Paul, Minnesota 55107. All other notices and communications directed towards the Trustee should be addressed to U.S. Bank Global Corporate Trust, CN-VA-MUNI, 5065 Wooster Road, Cincinnati, OH 45226.</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Maturity and Interest</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notes will mature on February 15, 2029. The notes will not be subject to any sinking fund provision.</w:t>
      </w:r>
    </w:p>
    <w:p>
      <w:pPr>
        <w:spacing w:after="0" w:line="174" w:lineRule="exact"/>
        <w:rPr>
          <w:sz w:val="20"/>
          <w:szCs w:val="20"/>
          <w:color w:val="auto"/>
        </w:rPr>
      </w:pPr>
    </w:p>
    <w:p>
      <w:pPr>
        <w:jc w:val="both"/>
        <w:ind w:left="240" w:right="439" w:firstLine="341"/>
        <w:spacing w:after="0" w:line="260" w:lineRule="auto"/>
        <w:rPr>
          <w:sz w:val="20"/>
          <w:szCs w:val="20"/>
          <w:color w:val="auto"/>
        </w:rPr>
      </w:pPr>
      <w:r>
        <w:rPr>
          <w:rFonts w:ascii="Times New Roman" w:cs="Times New Roman" w:eastAsia="Times New Roman" w:hAnsi="Times New Roman"/>
          <w:sz w:val="14"/>
          <w:szCs w:val="14"/>
          <w:color w:val="auto"/>
        </w:rPr>
        <w:t>We will pay interest on the notes semi-annually in arrears on February 15 and August 15 of each year, commencing on August 15, 2026, to the persons in whose names such notes are registered at the close of business on February 1 and August 1 of each year, immediately prior to such interest payment dates, regardless of whether any such regular record date is a business day. Interest on the notes will be computed on the basis of a 360-day year consisting of twelve 30-day months.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8" w:right="1440" w:bottom="1440" w:gutter="0" w:footer="0" w:header="0"/>
        </w:sectPr>
      </w:pPr>
    </w:p>
    <w:bookmarkStart w:id="15" w:name="page16"/>
    <w:bookmarkEnd w:id="15"/>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any interest payment date, any redemption date, the maturity date or any other date on which the principal of or premium, if any, or interest on a note becomes due and payable falls on a day that is not a business day, the required payment shall be made on the next business day as if it were made on the date the payment was due, and no interest shall accrue on the amount so payable for the period from and after the interest payment date, redemption date, maturity date or other date, as the case may be.</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2"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Prior to January 15, 2029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53" w:lineRule="exact"/>
        <w:rPr>
          <w:sz w:val="20"/>
          <w:szCs w:val="20"/>
          <w:color w:val="auto"/>
        </w:rPr>
      </w:pPr>
    </w:p>
    <w:p>
      <w:pPr>
        <w:ind w:left="580" w:right="639" w:hanging="4"/>
        <w:spacing w:after="0" w:line="265" w:lineRule="auto"/>
        <w:tabs>
          <w:tab w:leader="none" w:pos="77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but excluding, the redemption date (assuming the notes matured on the Par Call Date) on a semi-annual basis (assuming a 360-day year consisting of twelve 30-day months) at the Treasury Rate plus 10 basis points less (b) interest accrued to, but excluding, the date of redemption, and</w:t>
      </w:r>
    </w:p>
    <w:p>
      <w:pPr>
        <w:spacing w:after="0" w:line="52" w:lineRule="exact"/>
        <w:rPr>
          <w:rFonts w:ascii="Times New Roman" w:cs="Times New Roman" w:eastAsia="Times New Roman" w:hAnsi="Times New Roman"/>
          <w:sz w:val="14"/>
          <w:szCs w:val="14"/>
          <w:color w:val="auto"/>
        </w:rPr>
      </w:pPr>
    </w:p>
    <w:p>
      <w:pPr>
        <w:ind w:left="780" w:hanging="204"/>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if any, to, but excluding, the redemption date.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On or after the Par Call Date, we may redeem the notes, in whole or in part, at any time and from time to time, at a redemption price equal to</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100% of the principal amount of the notes being redeemed plus accrued and unpaid interest thereon, if any, to, but excluding, the redemption date.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us in accordance with the following two paragraphs.</w:t>
      </w:r>
    </w:p>
    <w:p>
      <w:pPr>
        <w:spacing w:after="0" w:line="174"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7" w:lineRule="exact"/>
        <w:rPr>
          <w:sz w:val="20"/>
          <w:szCs w:val="20"/>
          <w:color w:val="auto"/>
        </w:rPr>
      </w:pPr>
    </w:p>
    <w:p>
      <w:pPr>
        <w:ind w:left="240" w:right="319" w:firstLine="341"/>
        <w:spacing w:after="0" w:line="279" w:lineRule="auto"/>
        <w:rPr>
          <w:sz w:val="20"/>
          <w:szCs w:val="20"/>
          <w:color w:val="auto"/>
        </w:rPr>
      </w:pPr>
      <w:r>
        <w:rPr>
          <w:rFonts w:ascii="Times New Roman" w:cs="Times New Roman" w:eastAsia="Times New Roman" w:hAnsi="Times New Roman"/>
          <w:sz w:val="13"/>
          <w:szCs w:val="13"/>
          <w:color w:val="auto"/>
        </w:rPr>
        <w:t>If on the third business day preceding the redemption date H.15,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40" w:right="1440" w:bottom="1440" w:gutter="0" w:footer="0" w:header="0"/>
        </w:sectPr>
      </w:pPr>
    </w:p>
    <w:bookmarkStart w:id="16" w:name="page17"/>
    <w:bookmarkEnd w:id="16"/>
    <w:p>
      <w:pPr>
        <w:ind w:left="24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w:t>
      </w:r>
    </w:p>
    <w:p>
      <w:pPr>
        <w:spacing w:after="0" w:line="174"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notes to be redeemed. A notice of redemption may, at our discretion, be subject to one or more conditions precedent, including, but not limited to, completion of an equity offering, a financing, or other corporate transaction, provided that if such redemption or notice is subject to satisfaction of one or more conditions precedent, such notice shall state that, in our discretion, the redemption date may be postponed until up to 60 days following the notice of redemption, and such notice may be rescinded in the event that any or all such conditions shall not have been satisfied by the redemption date (including as it may be postponed).</w:t>
      </w:r>
    </w:p>
    <w:p>
      <w:pPr>
        <w:spacing w:after="0" w:line="146"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Notwithstanding the foregoing, for so long as the notes are held by the Depository Trust Company (or another depositary), the redemption of the notes shall be done in accordance with the policies and procedures of such depositary.</w:t>
      </w:r>
    </w:p>
    <w:p>
      <w:pPr>
        <w:spacing w:after="0" w:line="146" w:lineRule="exact"/>
        <w:rPr>
          <w:sz w:val="20"/>
          <w:szCs w:val="20"/>
          <w:color w:val="auto"/>
        </w:rPr>
      </w:pPr>
    </w:p>
    <w:p>
      <w:pPr>
        <w:ind w:left="240" w:right="639" w:firstLine="341"/>
        <w:spacing w:after="0" w:line="281"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notes or portions thereof called for redemption.</w:t>
      </w:r>
    </w:p>
    <w:p>
      <w:pPr>
        <w:spacing w:after="0" w:line="125" w:lineRule="exact"/>
        <w:rPr>
          <w:sz w:val="20"/>
          <w:szCs w:val="20"/>
          <w:color w:val="auto"/>
        </w:rPr>
      </w:pPr>
    </w:p>
    <w:p>
      <w:pPr>
        <w:ind w:left="240" w:right="479" w:firstLine="341"/>
        <w:spacing w:after="0" w:line="265" w:lineRule="auto"/>
        <w:rPr>
          <w:sz w:val="20"/>
          <w:szCs w:val="20"/>
          <w:color w:val="auto"/>
        </w:rPr>
      </w:pPr>
      <w:r>
        <w:rPr>
          <w:rFonts w:ascii="Times New Roman" w:cs="Times New Roman" w:eastAsia="Times New Roman" w:hAnsi="Times New Roman"/>
          <w:sz w:val="14"/>
          <w:szCs w:val="14"/>
          <w:color w:val="auto"/>
        </w:rPr>
        <w:t>We will pay interest to a person other than the holder of record on the record date if we elect to redeem the notes on a date that is after a record date but on or prior to the corresponding interest payment date. In this instance, we will pay accrued interest on the notes being redeemed to, but excluding, the redemption date to the same person to whom we will pay the principal of those notes.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Change of Control Repurchase</w:t>
      </w:r>
    </w:p>
    <w:p>
      <w:pPr>
        <w:spacing w:after="0" w:line="92"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If a Change of Control Triggering Event occurs, unless we have redeemed all of the notes as described above, holders of notes will have the right to require us to repurchase all or any part (equal to $2,000 or integral multiple of $1,000 in excess thereof) of their notes pursuant to the offer described below (the “Change of Control Offer”) on the terms set forth in the notes. In the Change of Control Offer, we will be required to offer payment in cash equal to 101% of the aggregate principal amount of notes repurchased plus accrued and unpaid interest, if any, on the notes repurchased, to, but excluding, the date of repurchase (the “Change of Control Payment”). Within 30 days following any Change of Control Triggering Event, we will send notice of such Change of Control Offer (the “Change of Control Offer Notice”) by first-class mail, with a copy to the Trustee, to each holder of notes to the address of such holder appearing in the security register or otherwise in accordance with the procedures of The Depository Trust Company, New York, New York (the “Depositary”), with the following information:</w:t>
      </w:r>
    </w:p>
    <w:p>
      <w:pPr>
        <w:spacing w:after="0" w:line="71" w:lineRule="exact"/>
        <w:rPr>
          <w:sz w:val="20"/>
          <w:szCs w:val="20"/>
          <w:color w:val="auto"/>
        </w:rPr>
      </w:pPr>
    </w:p>
    <w:p>
      <w:pPr>
        <w:ind w:left="980" w:right="339" w:hanging="327"/>
        <w:spacing w:after="0" w:line="281"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Change of Control Offer is being made pursuant to the provisions of the Indenture and that all notes properly tendered pursuant to such Change of Control Offer will be accepted for payment by us;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40" w:right="1440" w:bottom="1440" w:gutter="0" w:footer="0" w:header="0"/>
        </w:sectPr>
      </w:pPr>
    </w:p>
    <w:bookmarkStart w:id="17" w:name="page18"/>
    <w:bookmarkEnd w:id="17"/>
    <w:p>
      <w:pPr>
        <w:ind w:left="980" w:hanging="327"/>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date of the Change of Control Triggering Event;</w:t>
      </w:r>
    </w:p>
    <w:p>
      <w:pPr>
        <w:spacing w:after="0" w:line="100" w:lineRule="exact"/>
        <w:rPr>
          <w:rFonts w:ascii="Times New Roman" w:cs="Times New Roman" w:eastAsia="Times New Roman" w:hAnsi="Times New Roman"/>
          <w:sz w:val="14"/>
          <w:szCs w:val="14"/>
          <w:color w:val="auto"/>
        </w:rPr>
      </w:pPr>
    </w:p>
    <w:p>
      <w:pPr>
        <w:ind w:left="980" w:right="499" w:hanging="327"/>
        <w:spacing w:after="0" w:line="281"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which will be no earlier than 30 days and no later than 60 days after the date the Change of Control Offer Notice is mailed, by which we must purchase the notes (the “Change of Control Payment Date”);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that we must pay for the notes we are obligated to purchase;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Trustee;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any note not properly tendered will remain outstanding and continue to accrue interest;</w:t>
      </w:r>
    </w:p>
    <w:p>
      <w:pPr>
        <w:spacing w:after="0" w:line="100"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unless we default in the payment of the Change of Control Payment, all notes accepted for payment pursuant to the Change of Control Offer will cease to accrue interest on the Change of Control Payment Date;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surrendering notes for payment;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by which a holder may withdraw such a tender after it is given.</w:t>
      </w:r>
    </w:p>
    <w:p>
      <w:pPr>
        <w:spacing w:after="0" w:line="174" w:lineRule="exact"/>
        <w:rPr>
          <w:sz w:val="20"/>
          <w:szCs w:val="20"/>
          <w:color w:val="auto"/>
        </w:rPr>
      </w:pPr>
    </w:p>
    <w:p>
      <w:pPr>
        <w:ind w:left="240" w:right="399" w:firstLine="341"/>
        <w:spacing w:after="0" w:line="257" w:lineRule="auto"/>
        <w:rPr>
          <w:sz w:val="20"/>
          <w:szCs w:val="20"/>
          <w:color w:val="auto"/>
        </w:rPr>
      </w:pPr>
      <w:r>
        <w:rPr>
          <w:rFonts w:ascii="Times New Roman" w:cs="Times New Roman" w:eastAsia="Times New Roman" w:hAnsi="Times New Roman"/>
          <w:sz w:val="14"/>
          <w:szCs w:val="14"/>
          <w:color w:val="auto"/>
        </w:rPr>
        <w:t>We must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repurchase provisions of the notes, we will be required to comply with the applicable securities laws and regulations and will not be deemed to have breached our obligations under the Change of Control repurchase provisions of the notes by virtue of such conflicts.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On the Change of Control Payment Date, we will be required, to the extent lawful, to:</w:t>
      </w:r>
    </w:p>
    <w:p>
      <w:pPr>
        <w:spacing w:after="0" w:line="101" w:lineRule="exact"/>
        <w:rPr>
          <w:sz w:val="20"/>
          <w:szCs w:val="20"/>
          <w:color w:val="auto"/>
        </w:rPr>
      </w:pPr>
    </w:p>
    <w:p>
      <w:pPr>
        <w:ind w:left="980" w:hanging="327"/>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pursuant to the Change of Control Offer;</w:t>
      </w:r>
    </w:p>
    <w:p>
      <w:pPr>
        <w:spacing w:after="0" w:line="100" w:lineRule="exact"/>
        <w:rPr>
          <w:rFonts w:ascii="Times New Roman" w:cs="Times New Roman" w:eastAsia="Times New Roman" w:hAnsi="Times New Roman"/>
          <w:sz w:val="14"/>
          <w:szCs w:val="14"/>
          <w:color w:val="auto"/>
        </w:rPr>
      </w:pPr>
    </w:p>
    <w:p>
      <w:pPr>
        <w:ind w:left="980" w:right="439" w:hanging="327"/>
        <w:spacing w:after="0" w:line="281"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Trustee or a paying agent an amount equal to the Change of Control Payment in respect of all notes or portions of notes properly tendered; and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w:t>
      </w:r>
    </w:p>
    <w:p>
      <w:pPr>
        <w:spacing w:after="0" w:line="174" w:lineRule="exact"/>
        <w:rPr>
          <w:sz w:val="20"/>
          <w:szCs w:val="20"/>
          <w:color w:val="auto"/>
        </w:rPr>
      </w:pPr>
    </w:p>
    <w:p>
      <w:pPr>
        <w:ind w:left="240" w:right="339" w:firstLine="341"/>
        <w:spacing w:after="0" w:line="257"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of “all or substantially all” of the properties or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the assets of us and our subsidiaries taken as a whole to another person or group may be uncertain.</w:t>
      </w:r>
    </w:p>
    <w:p>
      <w:pPr>
        <w:spacing w:after="0" w:line="143"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We will not repurchase any notes if there has occurred and is continuing on the Change of Control Payment Date an event of default under the Indenture, other than a default in payment of the repurchase price payable for the notes upon a Change of Control Triggering Event. Current and future agreements relating to indebtedness to which we and our subsidiaries are, and may become, party may restrict us from repurchasing the notes upon a Change of Control Triggering Event. If a Change of Control Triggering Event occurs at a time when we are prohibited from repurchasing the notes, we could seek the consent of lenders to permit the repurchase of the notes or could attempt to refinance the borrowings that contain such a prohibition. If we do not obtain such consent or refinance such borrowings, repurchasing the notes could lead to a default under such borrowings. In addition, certain indebtedness to which we and our subsidiaries are party currently provide, and may in the future also provide, that certain change of control events with respect to us would constitute a default thereunder (including events that would constitute a Change of Control Triggering Event under the notes). If we experience a change of control that triggers a default under the terms of our or our subsidiaries’ other indebtedness, we could seek a waiver of such default or seek to refinance such other indebtedness. In the event we do not obtain such a waiver or refinance the indebtedness, such default could result in amounts outstanding under such other indebtedness being declared due and payable.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40" w:right="1440" w:bottom="1440" w:gutter="0" w:footer="0" w:header="0"/>
        </w:sectPr>
      </w:pPr>
    </w:p>
    <w:bookmarkStart w:id="18" w:name="page19"/>
    <w:bookmarkEnd w:id="18"/>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Our ability to pay cash to the holders of notes following the occurrence of a Change of Control Triggering Event may be limited by our then-existing financial resources. Therefore, sufficient funds may not be available when necessary to make any required repurchases. The Change of Control repurchase feature of the notes may in certain circumstances make more difficult or discourage a sale or takeover of us.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under the notes, but that could affect our capital structure or credit ratings.</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For purposes of the foregoing discussion of a repurchase at the option of holders, the following definitions are applicable:</w:t>
      </w:r>
    </w:p>
    <w:p>
      <w:pPr>
        <w:spacing w:after="0" w:line="90"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“Below Investment Grade Rating Event” means the notes are rated below an Investment Grade Rating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40" w:lineRule="exact"/>
        <w:rPr>
          <w:sz w:val="20"/>
          <w:szCs w:val="20"/>
          <w:color w:val="auto"/>
        </w:rPr>
      </w:pPr>
    </w:p>
    <w:p>
      <w:pPr>
        <w:ind w:left="240" w:right="359" w:firstLine="341"/>
        <w:spacing w:after="0" w:line="276" w:lineRule="auto"/>
        <w:rPr>
          <w:sz w:val="20"/>
          <w:szCs w:val="20"/>
          <w:color w:val="auto"/>
        </w:rPr>
      </w:pPr>
      <w:r>
        <w:rPr>
          <w:rFonts w:ascii="Times New Roman" w:cs="Times New Roman" w:eastAsia="Times New Roman" w:hAnsi="Times New Roman"/>
          <w:sz w:val="13"/>
          <w:szCs w:val="13"/>
          <w:color w:val="auto"/>
        </w:rPr>
        <w:t>“Change of Control” means the occurrence of any of the following: (1) the direct or indirect sale, transfer, conveyance or other disposition (other than by way of merger or consolidation), in one or a series of related transactions, of all or substantially all of the properties or assets of us and our subsidiaries taken as a whole to any “person” (as such term is used in Section 13(d)(3) of the Exchange Act) other than us or one of our subsidiaries;</w:t>
      </w:r>
    </w:p>
    <w:p>
      <w:pPr>
        <w:spacing w:after="0" w:line="1" w:lineRule="exact"/>
        <w:rPr>
          <w:sz w:val="20"/>
          <w:szCs w:val="20"/>
          <w:color w:val="auto"/>
        </w:rPr>
      </w:pPr>
    </w:p>
    <w:p>
      <w:pPr>
        <w:ind w:left="240" w:right="359" w:hanging="5"/>
        <w:spacing w:after="0" w:line="251" w:lineRule="auto"/>
        <w:tabs>
          <w:tab w:leader="none" w:pos="43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any transaction (including, without limitation, any merger or consolidation) the result of which is that any “person” (as such term is used in Section 13(d)(3) of the Exchange Act) becomes the beneficial owner (subject to the exclusions from beneficial ownership as set forth in our Articles of Restatement, as amended (“Charter”)), directly or indirectly, of more than 50% of the combined voting power of all of our capital stock after giving effect to the automatic conversion of Common Stock Non-Voting into Common Stock as provided in our Charter; or (3) during any period of 12 consecutive months, the first day on which a majority of the members of our Board of Directors (other than vacant seats) are not Continuing Directors.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“Change of Control Triggering Event” means the occurrence of both a Change of Control and a Below Investment Grade Rating Event.</w:t>
      </w:r>
    </w:p>
    <w:p>
      <w:pPr>
        <w:spacing w:after="0" w:line="174"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“Continuing Directors” means, as of any date of determination, any member of the Company’s Board of Directors who (1) was a member of such Board of Directors on the first day of the 12-month period referred to in clause (3) of the definition of “Change of Control”; (2) was nominated for election or elected to such Board of Directors with the approval of individuals referred to in clause (1) above constituting at the time of such election or nomination at least a majority of the Board of Directors; or (3) was nominated for election or elected to such Board of Directors with the approval of individuals referred to in clauses (1) or (2) above constituting at the time of such election or nomination at least a majority of the Board of Directors (either by a specific vote or by approval of our proxy statement in which such member was named as a nominee for election as a director, without objection to such nomination).</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“Investment Grade Rating” means a rating equal to or higher than Baa3 (or the equivalent) by Moody’s and BBB- (or the equivalent) by S&amp;P.</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“Moody’s” means Moody’s Investors Service, Inc., and any successor to its rating agency business.</w:t>
      </w:r>
    </w:p>
    <w:p>
      <w:pPr>
        <w:spacing w:after="0" w:line="174" w:lineRule="exact"/>
        <w:rPr>
          <w:sz w:val="20"/>
          <w:szCs w:val="20"/>
          <w:color w:val="auto"/>
        </w:rPr>
      </w:pPr>
    </w:p>
    <w:p>
      <w:pPr>
        <w:ind w:left="240" w:right="399" w:firstLine="341"/>
        <w:spacing w:after="0" w:line="260" w:lineRule="auto"/>
        <w:rPr>
          <w:sz w:val="20"/>
          <w:szCs w:val="20"/>
          <w:color w:val="auto"/>
        </w:rPr>
      </w:pPr>
      <w:r>
        <w:rPr>
          <w:rFonts w:ascii="Times New Roman" w:cs="Times New Roman" w:eastAsia="Times New Roman" w:hAnsi="Times New Roman"/>
          <w:sz w:val="14"/>
          <w:szCs w:val="14"/>
          <w:color w:val="auto"/>
        </w:rPr>
        <w:t>“Rating Agencies” means (1) each of Moody’s and S&amp;P; and (2) if either of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Moody’s or S&amp;P, or both of them, as the case may be.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40"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“S&amp;P” means S&amp;P Global Ratings, a division of S&amp;P Global Inc., and any successor to its rating agency business.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Other Provisions of the Notes</w:t>
      </w:r>
    </w:p>
    <w:p>
      <w:pPr>
        <w:spacing w:after="0" w:line="92" w:lineRule="exact"/>
        <w:rPr>
          <w:sz w:val="20"/>
          <w:szCs w:val="20"/>
          <w:color w:val="auto"/>
        </w:rPr>
      </w:pPr>
    </w:p>
    <w:p>
      <w:pPr>
        <w:ind w:left="240" w:right="619" w:firstLine="341"/>
        <w:spacing w:after="0" w:line="281" w:lineRule="auto"/>
        <w:rPr>
          <w:sz w:val="20"/>
          <w:szCs w:val="20"/>
          <w:color w:val="auto"/>
        </w:rPr>
      </w:pPr>
      <w:r>
        <w:rPr>
          <w:rFonts w:ascii="Times New Roman" w:cs="Times New Roman" w:eastAsia="Times New Roman" w:hAnsi="Times New Roman"/>
          <w:sz w:val="14"/>
          <w:szCs w:val="14"/>
          <w:color w:val="auto"/>
        </w:rPr>
        <w:t>The notes will be subject to certain other provisions of the Indenture, including as described under the sections entitled “Description of Debt Securities—Certain Covenants,” “—Events of Default,” and “—Modification and Waiver” in the accompanying prospectus.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92" w:lineRule="exact"/>
        <w:rPr>
          <w:sz w:val="20"/>
          <w:szCs w:val="20"/>
          <w:color w:val="auto"/>
        </w:rPr>
      </w:pPr>
    </w:p>
    <w:p>
      <w:pPr>
        <w:ind w:left="240" w:right="239" w:firstLine="341"/>
        <w:spacing w:after="0" w:line="265" w:lineRule="auto"/>
        <w:rPr>
          <w:sz w:val="20"/>
          <w:szCs w:val="20"/>
          <w:color w:val="auto"/>
        </w:rPr>
      </w:pPr>
      <w:r>
        <w:rPr>
          <w:rFonts w:ascii="Times New Roman" w:cs="Times New Roman" w:eastAsia="Times New Roman" w:hAnsi="Times New Roman"/>
          <w:sz w:val="14"/>
          <w:szCs w:val="14"/>
          <w:color w:val="auto"/>
        </w:rPr>
        <w:t>The notes will be subject to the provisions in the Indenture regarding satisfaction and discharge and discharge and defeasance of certain covenants, as described under the sections entitled “Description of Debt Securities—Satisfaction and Discharge” and “—Covenant Defeasance” in the accompanying prospectus.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Book Entry</w:t>
      </w:r>
    </w:p>
    <w:p>
      <w:pPr>
        <w:spacing w:after="0" w:line="92" w:lineRule="exact"/>
        <w:rPr>
          <w:sz w:val="20"/>
          <w:szCs w:val="20"/>
          <w:color w:val="auto"/>
        </w:rPr>
      </w:pPr>
    </w:p>
    <w:p>
      <w:pPr>
        <w:ind w:left="240" w:right="359" w:firstLine="341"/>
        <w:spacing w:after="0" w:line="273" w:lineRule="auto"/>
        <w:rPr>
          <w:sz w:val="20"/>
          <w:szCs w:val="20"/>
          <w:color w:val="auto"/>
        </w:rPr>
      </w:pPr>
      <w:r>
        <w:rPr>
          <w:rFonts w:ascii="Times New Roman" w:cs="Times New Roman" w:eastAsia="Times New Roman" w:hAnsi="Times New Roman"/>
          <w:sz w:val="13"/>
          <w:szCs w:val="13"/>
          <w:color w:val="auto"/>
        </w:rPr>
        <w:t>The notes will be issued in the form of one or more fully registered global securities (each a “Global Security”) which will be deposited with, or on behalf of, the Depositary and registered in the name of Cede &amp; Co., the Depositary’s nominee. We will not issue notes in certificated form except in certain circumstances. Beneficial interests in the Global Securities will be represented through book-entry accounts of financial institutions acting on behalf of beneficial owners as direct and indirect participants in the Depositary (the “Depositary Participants”). Investors may elect to hold interests in the Global Securities through either the Depositary (in the United States), or Clearstream Banking Luxembourg (“Clearstream Luxembourg”) or Euroclear (in Europe) if they are participants in those systems, or, indirectly through organizations that are participants in those systems. Clearstream Luxembourg and Euroclear will hold interests on behalf of their participants through customers’ securities accounts in Clearstream Luxembourg’s and Euroclear’s names on the books of their respective depositaries, which in turn will hold such interests in customers’ securities accounts in the depositaries’ names on the books of the Depositary. At the present time, Citibank, N.A. acts as U.S. depositary for Clearstream Luxembourg and JP Morgan Chase Bank, N.A. acts as U.S. depositary for Euroclear (the “U.S. Depositaries”). Beneficial interests in the Global Securities will be held in minimum denominations of $2,000 and integral multiples of $1,000 in excess thereof. Except as set forth below, the Global Securities may be transferred, in whole but not in part, only to another nominee of the Depositary or to a successor of the Depositary or its nominee.</w:t>
      </w:r>
    </w:p>
    <w:p>
      <w:pPr>
        <w:spacing w:after="0" w:line="136" w:lineRule="exact"/>
        <w:rPr>
          <w:sz w:val="20"/>
          <w:szCs w:val="20"/>
          <w:color w:val="auto"/>
        </w:rPr>
      </w:pPr>
    </w:p>
    <w:p>
      <w:pPr>
        <w:ind w:left="240" w:right="239" w:firstLine="341"/>
        <w:spacing w:after="0" w:line="273" w:lineRule="auto"/>
        <w:rPr>
          <w:sz w:val="20"/>
          <w:szCs w:val="20"/>
          <w:color w:val="auto"/>
        </w:rPr>
      </w:pPr>
      <w:r>
        <w:rPr>
          <w:rFonts w:ascii="Times New Roman" w:cs="Times New Roman" w:eastAsia="Times New Roman" w:hAnsi="Times New Roman"/>
          <w:sz w:val="13"/>
          <w:szCs w:val="13"/>
          <w:color w:val="auto"/>
        </w:rPr>
        <w:t>The Depositary has advised us and the underwriters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(“Direct Participants”) deposit with the Depositary. The Depositary also facilitates the settlement among Direct Participants of securities transactions, such as transfers and pledges, in deposited securities through electronic computerized book-</w:t>
      </w:r>
    </w:p>
    <w:p>
      <w:pPr>
        <w:spacing w:after="0" w:line="2" w:lineRule="exact"/>
        <w:rPr>
          <w:sz w:val="20"/>
          <w:szCs w:val="20"/>
          <w:color w:val="auto"/>
        </w:rPr>
      </w:pPr>
    </w:p>
    <w:p>
      <w:pPr>
        <w:ind w:left="240" w:right="239"/>
        <w:spacing w:after="0" w:line="251" w:lineRule="auto"/>
        <w:rPr>
          <w:sz w:val="20"/>
          <w:szCs w:val="20"/>
          <w:color w:val="auto"/>
        </w:rPr>
      </w:pPr>
      <w:r>
        <w:rPr>
          <w:rFonts w:ascii="Times New Roman" w:cs="Times New Roman" w:eastAsia="Times New Roman" w:hAnsi="Times New Roman"/>
          <w:sz w:val="14"/>
          <w:szCs w:val="14"/>
          <w:color w:val="auto"/>
        </w:rPr>
        <w:t>entry changes in Direct Participants’ accounts, thereby eliminating the need for physical movement of securities certificates. Direct Participants include securities brokers and dealers (which may include the underwriters of the notes), banks, trust companies, clearing corporations and certain other organizations. The Depositary is a wholly-owned subsidiary of The Depository Trust &amp; Clearing Corporation (“DTCC”). DTCC is owned by the users of its regulated subsidiaries. Access to the Depositary’s book-entry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Direct and Indirect Participants are on file with the Commission.</w:t>
      </w:r>
    </w:p>
    <w:p>
      <w:pPr>
        <w:spacing w:after="0" w:line="147" w:lineRule="exact"/>
        <w:rPr>
          <w:sz w:val="20"/>
          <w:szCs w:val="20"/>
          <w:color w:val="auto"/>
        </w:rPr>
      </w:pPr>
    </w:p>
    <w:p>
      <w:pPr>
        <w:ind w:left="240" w:right="879" w:firstLine="341"/>
        <w:spacing w:after="0" w:line="281" w:lineRule="auto"/>
        <w:rPr>
          <w:sz w:val="20"/>
          <w:szCs w:val="20"/>
          <w:color w:val="auto"/>
        </w:rPr>
      </w:pPr>
      <w:r>
        <w:rPr>
          <w:rFonts w:ascii="Times New Roman" w:cs="Times New Roman" w:eastAsia="Times New Roman" w:hAnsi="Times New Roman"/>
          <w:sz w:val="14"/>
          <w:szCs w:val="14"/>
          <w:color w:val="auto"/>
        </w:rPr>
        <w:t>Clearstream Luxembourg has advised us that it is incorporated under the laws of Luxembourg as a professional depositary. Clearstream Luxembourg holds securities for its participating organizations, known as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40" w:right="1440" w:bottom="1440" w:gutter="0" w:footer="0" w:header="0"/>
        </w:sectPr>
      </w:pPr>
    </w:p>
    <w:bookmarkStart w:id="20" w:name="page21"/>
    <w:bookmarkEnd w:id="20"/>
    <w:p>
      <w:pPr>
        <w:ind w:left="240" w:right="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 Clearstream Luxembourg provides to Clearstream Luxembourg participants, among other things, services for safekeeping, administration, clearance and settlement of internationally traded securities and securities lending and borrowing. Clearstream Luxembourg interfaces with domestic markets in several countries. As a professional depositary, Clearstream Luxembourg is subject to regulation by the Luxembourg Commission for the Supervision of the Financial Sector, also known as the Commission de Surveillance du Secteur Financier. Clearstream Luxembourg participants are recognized financial institutions around the world, including underwriters, securities brokers and dealers, banks, trust companies, clearing corporations and certain other organizations and may include the underwriters of the notes or their affiliates.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45" w:lineRule="exact"/>
        <w:rPr>
          <w:sz w:val="20"/>
          <w:szCs w:val="20"/>
          <w:color w:val="auto"/>
        </w:rPr>
      </w:pPr>
    </w:p>
    <w:p>
      <w:pPr>
        <w:ind w:left="240" w:right="519" w:firstLine="341"/>
        <w:spacing w:after="0" w:line="321" w:lineRule="auto"/>
        <w:rPr>
          <w:sz w:val="20"/>
          <w:szCs w:val="20"/>
          <w:color w:val="auto"/>
        </w:rPr>
      </w:pPr>
      <w:r>
        <w:rPr>
          <w:rFonts w:ascii="Times New Roman" w:cs="Times New Roman" w:eastAsia="Times New Roman" w:hAnsi="Times New Roman"/>
          <w:sz w:val="13"/>
          <w:szCs w:val="13"/>
          <w:color w:val="auto"/>
        </w:rPr>
        <w:t>Distributions with respect to the notes held beneficially through Clearstream Luxembourg will be credited to the cash accounts of Clearstream Luxembourg participants in accordance with its rules and procedures, to the extent received by the U.S. Depositary for Clearstream Luxembourg.</w:t>
      </w:r>
    </w:p>
    <w:p>
      <w:pPr>
        <w:spacing w:after="0" w:line="102" w:lineRule="exact"/>
        <w:rPr>
          <w:sz w:val="20"/>
          <w:szCs w:val="20"/>
          <w:color w:val="auto"/>
        </w:rPr>
      </w:pPr>
    </w:p>
    <w:p>
      <w:pPr>
        <w:ind w:left="240" w:right="239" w:firstLine="341"/>
        <w:spacing w:after="0" w:line="254" w:lineRule="auto"/>
        <w:rPr>
          <w:sz w:val="20"/>
          <w:szCs w:val="20"/>
          <w:color w:val="auto"/>
        </w:rPr>
      </w:pPr>
      <w:r>
        <w:rPr>
          <w:rFonts w:ascii="Times New Roman" w:cs="Times New Roman" w:eastAsia="Times New Roman" w:hAnsi="Times New Roman"/>
          <w:sz w:val="14"/>
          <w:szCs w:val="14"/>
          <w:color w:val="auto"/>
        </w:rPr>
        <w:t>Euroclear has advised us that it was created in 1968 to hold securities for its participants, known as Euroclear participants, and to clear and settle transactions between Euroclear participants and between Euroclear participants and participants of certain other securities intermediaries through simultaneous electronic book-entry delivery against payment, eliminating the need for physical movement of certificates and any risk from lack of simultaneous transfers of securities and cash. Euroclear is operated by Euroclear Bank S.A./N.V. or the “Euroclear operator” under contract with Euroclear plc, a U.K. corporation. The Euroclear operator provides Euroclear participants, among other things, with safekeeping, administration, clearance and settlement, securities lending and borrowing and related services. Euroclear participants include banks (including central banks), securities brokers and dealers and other professional financial intermediaries and may include the underwriters of the notes.</w:t>
      </w:r>
    </w:p>
    <w:p>
      <w:pPr>
        <w:spacing w:after="0" w:line="147" w:lineRule="exact"/>
        <w:rPr>
          <w:sz w:val="20"/>
          <w:szCs w:val="20"/>
          <w:color w:val="auto"/>
        </w:rPr>
      </w:pPr>
    </w:p>
    <w:p>
      <w:pPr>
        <w:ind w:left="240" w:right="459" w:firstLine="341"/>
        <w:spacing w:after="0" w:line="281" w:lineRule="auto"/>
        <w:rPr>
          <w:sz w:val="20"/>
          <w:szCs w:val="20"/>
          <w:color w:val="auto"/>
        </w:rPr>
      </w:pPr>
      <w:r>
        <w:rPr>
          <w:rFonts w:ascii="Times New Roman" w:cs="Times New Roman" w:eastAsia="Times New Roman" w:hAnsi="Times New Roman"/>
          <w:sz w:val="14"/>
          <w:szCs w:val="14"/>
          <w:color w:val="auto"/>
        </w:rPr>
        <w:t>Indirect access to Euroclear is also available to others that clear through or maintain a custodial relationship with a Euroclear participant, either directly or indirectly.</w:t>
      </w:r>
    </w:p>
    <w:p>
      <w:pPr>
        <w:spacing w:after="0" w:line="123" w:lineRule="exact"/>
        <w:rPr>
          <w:sz w:val="20"/>
          <w:szCs w:val="20"/>
          <w:color w:val="auto"/>
        </w:rPr>
      </w:pPr>
    </w:p>
    <w:p>
      <w:pPr>
        <w:ind w:left="240" w:right="559" w:firstLine="341"/>
        <w:spacing w:after="0" w:line="284" w:lineRule="auto"/>
        <w:rPr>
          <w:sz w:val="20"/>
          <w:szCs w:val="20"/>
          <w:color w:val="auto"/>
        </w:rPr>
      </w:pPr>
      <w:r>
        <w:rPr>
          <w:rFonts w:ascii="Times New Roman" w:cs="Times New Roman" w:eastAsia="Times New Roman" w:hAnsi="Times New Roman"/>
          <w:sz w:val="14"/>
          <w:szCs w:val="14"/>
          <w:color w:val="auto"/>
        </w:rPr>
        <w:t>The Euroclear operator is regulated and examined by the Belgian Financial Services and Markets Authority (</w:t>
      </w:r>
      <w:r>
        <w:rPr>
          <w:rFonts w:ascii="Times New Roman" w:cs="Times New Roman" w:eastAsia="Times New Roman" w:hAnsi="Times New Roman"/>
          <w:sz w:val="14"/>
          <w:szCs w:val="14"/>
          <w:i w:val="1"/>
          <w:iCs w:val="1"/>
          <w:color w:val="auto"/>
        </w:rPr>
        <w:t>Autorité des services et marchés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financiers</w:t>
      </w:r>
      <w:r>
        <w:rPr>
          <w:rFonts w:ascii="Times New Roman" w:cs="Times New Roman" w:eastAsia="Times New Roman" w:hAnsi="Times New Roman"/>
          <w:sz w:val="14"/>
          <w:szCs w:val="14"/>
          <w:color w:val="auto"/>
        </w:rPr>
        <w:t>) and the National Bank of Belgium (</w:t>
      </w:r>
      <w:r>
        <w:rPr>
          <w:rFonts w:ascii="Times New Roman" w:cs="Times New Roman" w:eastAsia="Times New Roman" w:hAnsi="Times New Roman"/>
          <w:sz w:val="14"/>
          <w:szCs w:val="14"/>
          <w:i w:val="1"/>
          <w:iCs w:val="1"/>
          <w:color w:val="auto"/>
        </w:rPr>
        <w:t>Banque Nationale de Belgique</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46" w:lineRule="exact"/>
        <w:rPr>
          <w:sz w:val="20"/>
          <w:szCs w:val="20"/>
          <w:color w:val="auto"/>
        </w:rPr>
      </w:pPr>
    </w:p>
    <w:p>
      <w:pPr>
        <w:ind w:left="240" w:right="899" w:firstLine="341"/>
        <w:spacing w:after="0" w:line="281"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25"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If the Depositary is at any time unwilling or unable to continue as depositary and a successor depositary is not appointed by us within 90 days, we will issue the notes in definitive form in exchange for the entire Global Security representing such notes. In this case, an owner of a beneficial interest in the Global Security will be entitled to physical delivery in definitive form of notes represented by such Global Security equal in principal amount to such beneficial interest and to have such notes registered in its name.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40" w:right="1440" w:bottom="1440" w:gutter="0" w:footer="0" w:header="0"/>
        </w:sectPr>
      </w:pPr>
    </w:p>
    <w:bookmarkStart w:id="21" w:name="page22"/>
    <w:bookmarkEnd w:id="21"/>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Title to book-entry interests in the notes will pass by book-entry registration of the transfer within the records of Clearstream Luxembourg, Euroclear or the Depositary, as the case may be, in accordance with their respective procedures. Book-entry interests in the notes may be transferred within Clearstream Luxembourg and within Euroclear and between Clearstream Luxembourg and Euroclear in accordance with procedures established for these purposes by Clearstream Luxembourg and Euroclear. Book-entry interests in the notes may be transferred within the Depositary in accordance with procedures established for this purpose by the Depositary. Transfers of book-entry interests in the notes among Clearstream Luxembourg and Euroclear and the Depositary may be effected in accordance with procedures established for this purpose by Clearstream Luxembourg, Euroclear and the Depositary.</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Global Clearance and Settlement Procedures</w:t>
      </w:r>
    </w:p>
    <w:p>
      <w:pPr>
        <w:spacing w:after="0" w:line="92"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Initial settlement for the notes will be made in immediately available funds. Secondary market trading between Depositary Participants will occur in the ordinary way in accordance with the Depositary’s rules and will be settled in immediately available funds</w:t>
      </w:r>
    </w:p>
    <w:p>
      <w:pPr>
        <w:spacing w:after="0" w:line="1" w:lineRule="exact"/>
        <w:rPr>
          <w:sz w:val="20"/>
          <w:szCs w:val="20"/>
          <w:color w:val="auto"/>
        </w:rPr>
      </w:pPr>
    </w:p>
    <w:p>
      <w:pPr>
        <w:ind w:left="240" w:right="339"/>
        <w:spacing w:after="0" w:line="254" w:lineRule="auto"/>
        <w:rPr>
          <w:sz w:val="20"/>
          <w:szCs w:val="20"/>
          <w:color w:val="auto"/>
        </w:rPr>
      </w:pPr>
      <w:r>
        <w:rPr>
          <w:rFonts w:ascii="Times New Roman" w:cs="Times New Roman" w:eastAsia="Times New Roman" w:hAnsi="Times New Roman"/>
          <w:sz w:val="14"/>
          <w:szCs w:val="14"/>
          <w:color w:val="auto"/>
        </w:rPr>
        <w:t>using the Depositary’s Same-Day Funds Settlement System. Secondary market trading between Clearstream Luxembourg participants and Euroclear participants will occur in the ordinary way in accordance with the applicable rules and operating procedures of Clearstream Luxembourg and Euroclear and will be settled using the procedures applicable to conventional eurobonds in immediately available funds.</w:t>
      </w:r>
    </w:p>
    <w:p>
      <w:pPr>
        <w:spacing w:after="0" w:line="144" w:lineRule="exact"/>
        <w:rPr>
          <w:sz w:val="20"/>
          <w:szCs w:val="20"/>
          <w:color w:val="auto"/>
        </w:rPr>
      </w:pPr>
    </w:p>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the Depositary on the one hand, and directly or indirectly through Clearstream Luxembourg participants or Euroclear participants, on the other, will be effected through the Depositary in accordance with the Depositary’s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w:t>
      </w:r>
    </w:p>
    <w:p>
      <w:pPr>
        <w:spacing w:after="0" w:line="143"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The relevant European international clearing system will, if the transaction meets its settlement requirements, deliver instructions to its U.S. Depositary to take action to effect final settlement on its behalf by delivering or receiving the notes in the Depositary, and making or receiving payment in accordance with normal procedures for same-day funds settlement applicable to the Depositary. Clearstream Luxembourg participants and Euroclear participants may not deliver instructions directly to their respective U.S. Depositaries.</w:t>
      </w:r>
    </w:p>
    <w:p>
      <w:pPr>
        <w:spacing w:after="0" w:line="140"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Because of time-zone differences, credits of the notes received in Clearstream Luxembourg or Euroclear as a result of a transaction with a Depositary Participant will be made during subsequent securities settlement processing and dated the business day following the Depositary settlement date. Such credits, or any transactions in the notes settled during such processing, will be reported to the relevant Euroclear participants or Clearstream Luxembourg participants on that business day. Cash received in Clearstream Luxembourg or Euroclear as a result of sales of notes by or through a Clearstream Luxembourg participant or a Euroclear participant to a Depositary Participant will be received with value on the business day of settlement in the Depositary but will be available in the relevant Clearstream Luxembourg or Euroclear cash account only as of the business day following settlement in the Depositary.</w:t>
      </w:r>
    </w:p>
    <w:p>
      <w:pPr>
        <w:spacing w:after="0" w:line="147"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Although the Depositary, Clearstream Luxembourg and Euroclear have agreed to the foregoing procedures in order to facilitate transfers of securities among participants of the Depositary, Clearstream Luxembourg and Euroclear, they are under no obligation to perform or continue to perform such procedures and they may discontinue the procedures at any time.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Same-Day Funds Settlement System and Payment</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will make all payments of principal and interest in immediately available funds.</w:t>
      </w:r>
    </w:p>
    <w:p>
      <w:pPr>
        <w:spacing w:after="0" w:line="174" w:lineRule="exact"/>
        <w:rPr>
          <w:sz w:val="20"/>
          <w:szCs w:val="20"/>
          <w:color w:val="auto"/>
        </w:rPr>
      </w:pPr>
    </w:p>
    <w:p>
      <w:pPr>
        <w:ind w:left="240" w:right="279" w:firstLine="341"/>
        <w:spacing w:after="0" w:line="281" w:lineRule="auto"/>
        <w:rPr>
          <w:sz w:val="20"/>
          <w:szCs w:val="20"/>
          <w:color w:val="auto"/>
        </w:rPr>
      </w:pPr>
      <w:r>
        <w:rPr>
          <w:rFonts w:ascii="Times New Roman" w:cs="Times New Roman" w:eastAsia="Times New Roman" w:hAnsi="Times New Roman"/>
          <w:sz w:val="14"/>
          <w:szCs w:val="14"/>
          <w:color w:val="auto"/>
        </w:rPr>
        <w:t>The notes will trade in DTC’s Same-Day Funds Settlement System until maturity, and secondary market trading activity in the notes will therefore be required by DTC to settle in immediately available funds.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40"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MATERIAL U.S. FEDERAL INCOME TAX CONSEQUENCES</w:t>
      </w:r>
    </w:p>
    <w:p>
      <w:pPr>
        <w:spacing w:after="0" w:line="176" w:lineRule="exact"/>
        <w:rPr>
          <w:sz w:val="20"/>
          <w:szCs w:val="20"/>
          <w:color w:val="auto"/>
        </w:rPr>
      </w:pPr>
    </w:p>
    <w:p>
      <w:pPr>
        <w:ind w:left="240" w:right="239" w:firstLine="341"/>
        <w:spacing w:after="0" w:line="252" w:lineRule="auto"/>
        <w:rPr>
          <w:sz w:val="20"/>
          <w:szCs w:val="20"/>
          <w:color w:val="auto"/>
        </w:rPr>
      </w:pPr>
      <w:r>
        <w:rPr>
          <w:rFonts w:ascii="Times New Roman" w:cs="Times New Roman" w:eastAsia="Times New Roman" w:hAnsi="Times New Roman"/>
          <w:sz w:val="14"/>
          <w:szCs w:val="14"/>
          <w:color w:val="auto"/>
        </w:rPr>
        <w:t>The following summary describes material U.S. federal income tax consequences of the acquisition, ownership and disposition of the notes by beneficial owners of the notes. This summary is based on the Internal Revenue Code of 1986, as amended (the “Code”), and Treasury regulations, rulings and judicial decisions all as of the date hereof, all of which are subject to change, possibly on a retroactive basis. The discussion applies only to beneficial owners who acquire the notes in this notes offering at the initial offering price and who will hold the notes as capital assets within the meaning of Section 1221 of the Code. This summary does not address all aspects of U.S. federal income taxation that may be relevant to holders of the notes in light of their particular circumstances or to holders subject to special rules (such as broker-dealers, banks or other financial institutions, insurance companies, entities or arrangements taxed as partnerships or partners therein, persons subject to the alternative minimum tax, persons subject to special tax accounting rules under Section 451(b) of the Code, tax-exempt organizations, U.S. holders (as defined below) that have a functional currency other than the U.S. dollar, certain U.S. expatriates and persons who hold the notes as part of a straddle, hedging, conversion or other integrated transaction). This summary addresses only U.S. federal income tax consequences. It does not address certain income tax provisions, such as the alternative minimum tax or the Medicare tax on certain investment income. It also does not address U.S. federal estate and gift tax consequences nor does it address the effects of any state, local or non-U.S. tax laws. Prospective holders should consult their tax advisors as to the particular tax consequences to them of acquiring, holding or disposing of the notes.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For purposes of the following discussion, a “U.S. holder” is a beneficial owner of a note that is for U.S. federal income tax purposes:</w:t>
      </w:r>
    </w:p>
    <w:p>
      <w:pPr>
        <w:spacing w:after="0" w:line="101" w:lineRule="exact"/>
        <w:rPr>
          <w:sz w:val="20"/>
          <w:szCs w:val="20"/>
          <w:color w:val="auto"/>
        </w:rPr>
      </w:pPr>
    </w:p>
    <w:p>
      <w:pPr>
        <w:ind w:left="980" w:hanging="327"/>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citizen or resident alien of the United States;</w:t>
      </w:r>
    </w:p>
    <w:p>
      <w:pPr>
        <w:spacing w:after="0" w:line="100" w:lineRule="exact"/>
        <w:rPr>
          <w:rFonts w:ascii="Times New Roman" w:cs="Times New Roman" w:eastAsia="Times New Roman" w:hAnsi="Times New Roman"/>
          <w:sz w:val="14"/>
          <w:szCs w:val="14"/>
          <w:color w:val="auto"/>
        </w:rPr>
      </w:pPr>
    </w:p>
    <w:p>
      <w:pPr>
        <w:ind w:left="980" w:right="279" w:hanging="327"/>
        <w:spacing w:after="0" w:line="281"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0" w:lineRule="exact"/>
        <w:rPr>
          <w:rFonts w:ascii="Times New Roman" w:cs="Times New Roman" w:eastAsia="Times New Roman" w:hAnsi="Times New Roman"/>
          <w:sz w:val="14"/>
          <w:szCs w:val="14"/>
          <w:color w:val="auto"/>
        </w:rPr>
      </w:pPr>
    </w:p>
    <w:p>
      <w:pPr>
        <w:ind w:left="980" w:right="379" w:hanging="327"/>
        <w:spacing w:after="0" w:line="265"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if a court within the United States can exercise primary supervision over its administration, and one or more United States persons (as defined under the Code) has the authority to control all of the substantial decisions of that trust or (ii) that has a valid election in effect under applicable Treasury regulations to be treated as a United States person for U.S. federal income tax purposes.</w:t>
      </w:r>
    </w:p>
    <w:p>
      <w:pPr>
        <w:spacing w:after="0" w:line="136"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For purposes of the following discussion, a “non-U.S. holder” means a beneficial owner of a note that is an individual, corporation, estate, or trust that, in each case, is not a U.S. holder.</w:t>
      </w:r>
    </w:p>
    <w:p>
      <w:pPr>
        <w:spacing w:after="0" w:line="125" w:lineRule="exact"/>
        <w:rPr>
          <w:sz w:val="20"/>
          <w:szCs w:val="20"/>
          <w:color w:val="auto"/>
        </w:rPr>
      </w:pPr>
    </w:p>
    <w:p>
      <w:pPr>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If an entity or arrangement classified as a partnership for U.S. federal income tax purposes holds notes, the tax treatment of a partner in the partnership generally will depend upon the status of the partner and the activities of the partnership. Partners of a partnership or arrangement classified as a partnership for U.S. federal income tax purposes that will hold notes are urged to consult their own tax advisor regarding the tax consequences of holding the notes.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Certain Additional Payment</w:t>
      </w:r>
    </w:p>
    <w:p>
      <w:pPr>
        <w:spacing w:after="0" w:line="92"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We may pay amounts in excess of the stated interest and principal payable on the notes or make payments in advance of their scheduled times, as described above under “Description of Notes— Change of Control Repurchase” and “Description of Notes—Optional Redemption.” Although the issue is not free from doubt, we intend to take the position that the possibility of payment of such additional amounts in redemption of the notes does not result in the notes being treated as “contingent payment debt instruments” under the applicable U.S. Treasury regulations. Our determination is binding on a holder, unless such holder explicitly discloses to the U.S. Internal Revenue Service (“IRS”) on its tax return for the year during which it acquires the notes that it is taking a different position. However, our position is not binding on the IRS. If the IRS takes a contrary position to that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8" w:right="1440" w:bottom="1440" w:gutter="0" w:footer="0" w:header="0"/>
        </w:sectPr>
      </w:pPr>
    </w:p>
    <w:bookmarkStart w:id="23" w:name="page24"/>
    <w:bookmarkEnd w:id="23"/>
    <w:p>
      <w:pPr>
        <w:ind w:left="240" w:right="2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described above, the timing and character of a holder’s income and the timing of our deductions with respect to the notes could be affected. Holders of notes should consult their tax advisors regarding the tax consequences of the notes being treated as contingent payment debt instruments. The remainder of this discussion assumes that the notes will not be treated as contingent payment debt instruments for U.S. federal income tax purposes.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92"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 xml:space="preserve">Payments of stated interest on the notes generally will be taxable to a U.S. holder as ordinary income at the time accrued or received, in accordance with such U.S. holder’s regular method of accounting for U.S. federal income tax purposes. It is expected, and this discussion assumes, that the notes will be issued with less than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amount of original issue discount (“OID”) (i.e., less than 25 basis points times the number of complete years to maturity). In general, however, if the notes are not issued with less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OID, a U.S. holder will be required to include OID in gross income, as ordinary income, under a “constant-yield method” before the receipt of cash attributable to such income, regardless of the U.S. holder’s regular method of accounting for U.S. federal income tax purposes.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Taxable Disposition of Notes</w:t>
      </w:r>
    </w:p>
    <w:p>
      <w:pPr>
        <w:spacing w:after="0" w:line="92" w:lineRule="exact"/>
        <w:rPr>
          <w:sz w:val="20"/>
          <w:szCs w:val="20"/>
          <w:color w:val="auto"/>
        </w:rPr>
      </w:pPr>
    </w:p>
    <w:p>
      <w:pPr>
        <w:ind w:left="240" w:right="339" w:firstLine="341"/>
        <w:spacing w:after="0" w:line="279" w:lineRule="auto"/>
        <w:rPr>
          <w:sz w:val="20"/>
          <w:szCs w:val="20"/>
          <w:color w:val="auto"/>
        </w:rPr>
      </w:pPr>
      <w:r>
        <w:rPr>
          <w:rFonts w:ascii="Times New Roman" w:cs="Times New Roman" w:eastAsia="Times New Roman" w:hAnsi="Times New Roman"/>
          <w:sz w:val="13"/>
          <w:szCs w:val="13"/>
          <w:color w:val="auto"/>
        </w:rPr>
        <w:t>Upon the sale, exchange, redemption, retirement or other taxable disposition of a note, a U.S. holder generally will recognize taxable gain or loss equal to the difference between the amount realized on the sale, exchange, redemption, retirement or other taxable disposition (except to the extent of accrued but unpaid interest not previously included in income, which will be taxable as such) and such holder’s adjusted tax basis in the note. A U.S. holder’s adjusted tax basis in a note generally will be equal to the cost of the note to such holder. Any such gain or loss will be capital gain or loss, and will be long-term capital gain or loss if a U.S. holder has held the note for more than one year. Certain U.S. holders (including individuals) are eligible for a preferred rate of tax in respect of long-term capital gain. The deductibility of capital losses by U.S. holders is subject to limitations.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2"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Information reporting generally will apply to payments on the notes and to payments of the proceeds from a sale or other taxable disposition of the notes to a U.S. holder unless such holder establishes that it is an exempt recipient. U.S. federal backup withholding (currently at a rate of 24%) generally will apply to payments to a U.S. holder if such holder fails to furnish a properly completed and executed IRS Form W-9 to us or our paying agent providing the holder’s taxpayer identification number and complying with certain certification requirements or otherwise fails to establish an exemption from backup withholding. Backup withholding is not an additional tax. Any amounts withheld under the backup withholding rules generally will be allowed as a credit against the holder’s U.S. federal income tax liability and may entitle the holder to a refund, provided that the holder furnishes the required information to the IRS on a timely basis. U.S. holders are urged to consult their own tax advisors regarding their qualification for an exemption from backup withholding and the procedures for obtaining such an exemption, if applicable.</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92" w:lineRule="exact"/>
        <w:rPr>
          <w:sz w:val="20"/>
          <w:szCs w:val="20"/>
          <w:color w:val="auto"/>
        </w:rPr>
      </w:pPr>
    </w:p>
    <w:p>
      <w:pPr>
        <w:jc w:val="both"/>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Subject to the discussions below under “—Information Reporting and Backup Withholding” and “FATCA,” U.S. federal income or withholding tax generally will not apply to any payment of interest on a note to a non-U.S. holder if the interest qualifies for the “portfolio interest exemption.” The portfolio interest exemption generally will be met if the non-U.S. holder: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40" w:right="1440" w:bottom="1440" w:gutter="0" w:footer="0" w:header="0"/>
        </w:sectPr>
      </w:pPr>
    </w:p>
    <w:bookmarkStart w:id="24" w:name="page25"/>
    <w:bookmarkEnd w:id="24"/>
    <w:p>
      <w:pPr>
        <w:ind w:left="980" w:right="599" w:hanging="327"/>
        <w:spacing w:after="0" w:line="265" w:lineRule="auto"/>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does not conduct a trade or business within the United States with which the interest income is effectively connected (and, if required under an applicable income tax treaty, is attributable to a permanent establishment or fixed base of the non-U.S. holder in the United States);</w:t>
      </w:r>
    </w:p>
    <w:p>
      <w:pPr>
        <w:spacing w:after="0" w:line="63"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actually or constructively own 10% or more of the total combined voting power of all classes of our stock that are entitled to vote within the meaning of Section 871(h)(3) of the Code;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 controlled foreign corporation that is related to us through stock ownership within the meaning of the Code;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 provides its name and address, and certifies, under penalties of perjury, that it is not a U.S. person, on</w:t>
      </w:r>
    </w:p>
    <w:p>
      <w:pPr>
        <w:spacing w:after="0" w:line="21" w:lineRule="exact"/>
        <w:rPr>
          <w:rFonts w:ascii="Times New Roman" w:cs="Times New Roman" w:eastAsia="Times New Roman" w:hAnsi="Times New Roman"/>
          <w:sz w:val="14"/>
          <w:szCs w:val="14"/>
          <w:color w:val="auto"/>
        </w:rPr>
      </w:pPr>
    </w:p>
    <w:p>
      <w:pPr>
        <w:ind w:left="980" w:right="43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IRS Form W-8BEN or W-8BEN-E, as applicable, or successor form, or (b) holds its notes through various foreign intermediaries and satisfies the certification requirements of applicable Treasury regulations.</w:t>
      </w:r>
    </w:p>
    <w:p>
      <w:pPr>
        <w:spacing w:after="0" w:line="140"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If a non-U.S. holder cannot satisfy the portfolio interest exemption requirements described above, payments of interest generally will be subject to a 30% U.S. federal withholding tax, unless the non-U.S. holder provides us with (i) a properly executed</w:t>
      </w:r>
    </w:p>
    <w:p>
      <w:pPr>
        <w:spacing w:after="0" w:line="1" w:lineRule="exact"/>
        <w:rPr>
          <w:sz w:val="20"/>
          <w:szCs w:val="20"/>
          <w:color w:val="auto"/>
        </w:rPr>
      </w:pPr>
    </w:p>
    <w:p>
      <w:pPr>
        <w:ind w:left="240" w:right="299"/>
        <w:spacing w:after="0" w:line="252" w:lineRule="auto"/>
        <w:rPr>
          <w:sz w:val="20"/>
          <w:szCs w:val="20"/>
          <w:color w:val="auto"/>
        </w:rPr>
      </w:pPr>
      <w:r>
        <w:rPr>
          <w:rFonts w:ascii="Times New Roman" w:cs="Times New Roman" w:eastAsia="Times New Roman" w:hAnsi="Times New Roman"/>
          <w:sz w:val="14"/>
          <w:szCs w:val="14"/>
          <w:color w:val="auto"/>
        </w:rPr>
        <w:t>IRS Form W-8BEN or W-8BEN-E, as applicable, or successor form, claiming an exemption from or reduction in withholding under the benefit of an applicable income tax treaty, or (ii) a properly completed and executed IRS Form W-8ECI, or successor form, certifying that interest paid on the note is not subject to withholding tax because the interest is effectively connected with the non-U.S. holder’s conduct of a trade or business in the United States (as discussed below under “— Income or Gain Effectively Connected with a United States Trade or Business”).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Taxable Disposition of Notes</w:t>
      </w:r>
    </w:p>
    <w:p>
      <w:pPr>
        <w:spacing w:after="0" w:line="92" w:lineRule="exact"/>
        <w:rPr>
          <w:sz w:val="20"/>
          <w:szCs w:val="20"/>
          <w:color w:val="auto"/>
        </w:rPr>
      </w:pPr>
    </w:p>
    <w:p>
      <w:pPr>
        <w:jc w:val="both"/>
        <w:ind w:left="240" w:right="419" w:firstLine="341"/>
        <w:spacing w:after="0" w:line="265" w:lineRule="auto"/>
        <w:rPr>
          <w:sz w:val="20"/>
          <w:szCs w:val="20"/>
          <w:color w:val="auto"/>
        </w:rPr>
      </w:pPr>
      <w:r>
        <w:rPr>
          <w:rFonts w:ascii="Times New Roman" w:cs="Times New Roman" w:eastAsia="Times New Roman" w:hAnsi="Times New Roman"/>
          <w:sz w:val="14"/>
          <w:szCs w:val="14"/>
          <w:color w:val="auto"/>
        </w:rPr>
        <w:t>Subject to the discussions below under “—Information Reporting and Backup Withholding” and “FATCA,” U.S. federal income or withholding tax generally will not apply to any gain that a non-U.S. holder realizes on the sale, exchange, redemption, retirement or other taxable disposition of a note unless:</w:t>
      </w:r>
    </w:p>
    <w:p>
      <w:pPr>
        <w:spacing w:after="0" w:line="63" w:lineRule="exact"/>
        <w:rPr>
          <w:sz w:val="20"/>
          <w:szCs w:val="20"/>
          <w:color w:val="auto"/>
        </w:rPr>
      </w:pPr>
    </w:p>
    <w:p>
      <w:pPr>
        <w:ind w:left="560" w:right="279" w:hanging="325"/>
        <w:spacing w:after="0" w:line="281" w:lineRule="auto"/>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a period or periods aggregating 183 days or more in the taxable year of that disposition and other conditions are met; or</w:t>
      </w:r>
    </w:p>
    <w:p>
      <w:pPr>
        <w:spacing w:after="0" w:line="52" w:lineRule="exact"/>
        <w:rPr>
          <w:rFonts w:ascii="Times New Roman" w:cs="Times New Roman" w:eastAsia="Times New Roman" w:hAnsi="Times New Roman"/>
          <w:sz w:val="14"/>
          <w:szCs w:val="14"/>
          <w:color w:val="auto"/>
        </w:rPr>
      </w:pPr>
    </w:p>
    <w:p>
      <w:pPr>
        <w:ind w:left="560" w:right="839" w:hanging="325"/>
        <w:spacing w:after="0" w:line="281" w:lineRule="auto"/>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required under an applicable income tax treaty, is attributable to a permanent establishment or fixed base of the non-U.S. holder in the United States).</w:t>
      </w:r>
    </w:p>
    <w:p>
      <w:pPr>
        <w:spacing w:after="0" w:line="125" w:lineRule="exact"/>
        <w:rPr>
          <w:sz w:val="20"/>
          <w:szCs w:val="20"/>
          <w:color w:val="auto"/>
        </w:rPr>
      </w:pPr>
    </w:p>
    <w:p>
      <w:pPr>
        <w:ind w:left="240" w:right="379" w:firstLine="341"/>
        <w:spacing w:after="0" w:line="280" w:lineRule="auto"/>
        <w:rPr>
          <w:sz w:val="20"/>
          <w:szCs w:val="20"/>
          <w:color w:val="auto"/>
        </w:rPr>
      </w:pPr>
      <w:r>
        <w:rPr>
          <w:rFonts w:ascii="Times New Roman" w:cs="Times New Roman" w:eastAsia="Times New Roman" w:hAnsi="Times New Roman"/>
          <w:sz w:val="13"/>
          <w:szCs w:val="13"/>
          <w:color w:val="auto"/>
        </w:rPr>
        <w:t>A non-U.S. holder described in clause 2 above will generally be subject to U.S. federal income tax on the sale, exchange, redemption, retirement or other taxable disposition of a note as described under “—Income or Gain Effectively Connected with a United States Trade or Business” below.</w:t>
      </w:r>
    </w:p>
    <w:p>
      <w:pPr>
        <w:spacing w:after="0" w:line="1" w:lineRule="exact"/>
        <w:rPr>
          <w:sz w:val="20"/>
          <w:szCs w:val="20"/>
          <w:color w:val="auto"/>
        </w:rPr>
      </w:pPr>
    </w:p>
    <w:p>
      <w:pPr>
        <w:ind w:left="240" w:right="299"/>
        <w:spacing w:after="0" w:line="259" w:lineRule="auto"/>
        <w:rPr>
          <w:sz w:val="20"/>
          <w:szCs w:val="20"/>
          <w:color w:val="auto"/>
        </w:rPr>
      </w:pPr>
      <w:r>
        <w:rPr>
          <w:rFonts w:ascii="Times New Roman" w:cs="Times New Roman" w:eastAsia="Times New Roman" w:hAnsi="Times New Roman"/>
          <w:sz w:val="14"/>
          <w:szCs w:val="14"/>
          <w:color w:val="auto"/>
        </w:rPr>
        <w:t>A non-U.S. holder described in clause 1 above will generally be subject to U.S. federal income tax at a rate of 30% (or a lower applicable treaty rate) on the gain realized, which may be offset by certain U.S.-source capital losses.</w:t>
      </w:r>
    </w:p>
    <w:p>
      <w:pPr>
        <w:spacing w:after="0" w:line="140" w:lineRule="exact"/>
        <w:rPr>
          <w:sz w:val="20"/>
          <w:szCs w:val="20"/>
          <w:color w:val="auto"/>
        </w:rPr>
      </w:pPr>
    </w:p>
    <w:p>
      <w:pPr>
        <w:ind w:left="240" w:right="679" w:firstLine="341"/>
        <w:spacing w:after="0" w:line="281" w:lineRule="auto"/>
        <w:rPr>
          <w:sz w:val="20"/>
          <w:szCs w:val="20"/>
          <w:color w:val="auto"/>
        </w:rPr>
      </w:pPr>
      <w:r>
        <w:rPr>
          <w:rFonts w:ascii="Times New Roman" w:cs="Times New Roman" w:eastAsia="Times New Roman" w:hAnsi="Times New Roman"/>
          <w:sz w:val="14"/>
          <w:szCs w:val="14"/>
          <w:color w:val="auto"/>
        </w:rPr>
        <w:t>To the extent that the amount realized on a sale, redemption, exchange, retirement or other taxable disposition of the notes is attributable to accrued but unpaid interest on the notes, it generally will be treated in the same manner as described in “— Payments of Interest” above.</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Income or Gain Effectively Connected with a United States Trade or Business</w:t>
      </w:r>
    </w:p>
    <w:p>
      <w:pPr>
        <w:spacing w:after="0" w:line="92"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If a non-U.S. holder is engaged in the conduct of a trade or business in the United States and interest on a note or gain recognized from the sale, exchange, redemption, retirement or other taxable disposition of a note is effectively connected with the conduct of that trade or business, such non-U.S. holder generally will be subject to U.S. federal income tax (but not the 30% U.S. federal withholding tax on interest if certain certification requirements are satisfied, as described below) on that interest and on gain on a net income basis in the same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40" w:right="1440" w:bottom="1440" w:gutter="0" w:footer="0" w:header="0"/>
        </w:sectPr>
      </w:pPr>
    </w:p>
    <w:bookmarkStart w:id="25" w:name="page26"/>
    <w:bookmarkEnd w:id="25"/>
    <w:p>
      <w:pPr>
        <w:ind w:left="240" w:right="2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manner as if such holder were a United States person as defined under the Code. Such a non-U.S. holder can generally meet the certification requirements to avoid withholding by providing a properly completed and executed IRS Form W-8ECI (or successor form) to us, or our paying agent. If such non-U.S. holder is eligible for the benefits of an income tax treaty between the United States and its country of residence, any effectively connected income or gain generally will be subject to U.S. federal income tax on a net income basis only if it is also attributable to a permanent establishment or fixed base maintained by such non-U.S. holder in the United States. In addition, if such non-U.S. holder is a foreign corporation, such holder may be subject to an additional branch profits tax equal to 30% (or a lower applicable income tax treaty rate) of its earnings and profits for the taxable year, subject to adjustments, that are effectively connected with its conduct of a trade or business in the United States.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2"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Information returns will be filed with the IRS in connection with payments on the notes made to, and may be filed in connection with the receipt of proceeds from the sale, exchange, redemption, retirement or other taxable disposition of the notes by, non-U.S. holders. Copies of the information returns reporting such payments and any withholding may also be made available to the tax authorities in the country in which a non-U.S. holder resides under the provisions of an applicable income tax treaty. A non-U.S. holder may be required to comply with applicable certification procedures to establish that such holder is not a U.S. holder in order to avoid the application of additional information reporting requirements and backup withholding. The certification procedures required to claim an exemption from withholding of tax on interest described above generally will satisfy the certification requirements necessary to avoid backup withholding as well.</w:t>
      </w:r>
    </w:p>
    <w:p>
      <w:pPr>
        <w:spacing w:after="0" w:line="147"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Any amounts withheld under the backup withholding rules will be allowed as a refund or a credit against a non-U.S. holder’s U.S. federal income tax liability, provided the required information is timely furnished to the IRS.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FATCA</w:t>
      </w:r>
    </w:p>
    <w:p>
      <w:pPr>
        <w:spacing w:after="0" w:line="92"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Under U.S. tax rules commonly known as the Foreign Account Tax Compliance Act (“FATCA”), a 30% U.S. federal withholding tax will apply to payments of interest on and, subject to the proposed Treasury regulations discussed below, payments of gross proceeds from the sale, exchange, redemption, retirement or other taxable disposition of, a note made to non-U.S. financial institutions and certain other non-U.S. non-financial entities (including, in some instances, where either type of entity is acting as an intermediary) that fail to comply with certain information reporting obligations. In certain cases, the relevant non-U.S. financial institution or non-U.S. non-financial entity may qualify for an exemption from, or be deemed to be in compliance with, these rules. For a non-U.S. financial institution to be FATCA compliant, it generally must enter into an agreement with the U.S. government to report, on an annual basis, certain information regarding accounts with, or interests in, the institution held by certain United States persons and by certain non-U.S. entities that are wholly or partially owned by United States persons, or must satisfy similar requirements under an intergovernmental agreement between the United States and another country (an “IGA”). These requirements may be modified by the adoption or implementation of a particular IGA or by future U.S. Treasury regulations. Documentation that holders provide in order to be treated as FATCA compliant may be reported to the IRS and other tax authorities, including information about a holder’s identity, its FATCA status, and if applicable, its direct and indirect U.S. owners.</w:t>
      </w:r>
    </w:p>
    <w:p>
      <w:pPr>
        <w:spacing w:after="0" w:line="148"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While withholding under FATCA generally would have applied to payments of gross proceeds from the sale or other disposition of a note on or after January 1, 2019, proposed Treasury regulations eliminate FATCA withholding on payments of gross proceeds entirely. Taxpayers generally may rely on these proposed Treasury regulations until final Treasury regulations are issued. If an interest payment is subject both to withholding under FATCA and to the withholding tax discussed above under “Material U.S. Federal Income Tax Consequences—Non-U.S. Holders—Payments of Interest,” the withholding under FATCA may be credited against, and therefore reduce, such other withholding tax. Prospective investors should consult their own tax</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40" w:right="1440" w:bottom="1440" w:gutter="0" w:footer="0" w:header="0"/>
        </w:sectPr>
      </w:pPr>
    </w:p>
    <w:bookmarkStart w:id="26" w:name="page27"/>
    <w:bookmarkEnd w:id="26"/>
    <w:p>
      <w:pPr>
        <w:ind w:left="2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advisors about how information reporting and the possible imposition of withholding tax under FATCA may apply to their investment in the notes.</w:t>
      </w:r>
    </w:p>
    <w:p>
      <w:pPr>
        <w:spacing w:after="0" w:line="183" w:lineRule="exact"/>
        <w:rPr>
          <w:sz w:val="20"/>
          <w:szCs w:val="20"/>
          <w:color w:val="auto"/>
        </w:rPr>
      </w:pPr>
    </w:p>
    <w:p>
      <w:pPr>
        <w:jc w:val="both"/>
        <w:ind w:left="240" w:right="6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Investors should consult their tax advisors concerning the applicability of the above tax consequences to their particular situations, including the necessity of satisfying various certification requirements, and concerning the applicability of other taxes, such as alternative minimum, gift or estate taxes and state, local and non-U.S. taxes.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UNDERWRITING</w:t>
      </w:r>
    </w:p>
    <w:p>
      <w:pPr>
        <w:spacing w:after="0" w:line="176" w:lineRule="exact"/>
        <w:rPr>
          <w:sz w:val="20"/>
          <w:szCs w:val="20"/>
          <w:color w:val="auto"/>
        </w:rPr>
      </w:pPr>
    </w:p>
    <w:p>
      <w:pPr>
        <w:ind w:left="240" w:right="359" w:firstLine="341"/>
        <w:spacing w:after="0" w:line="260" w:lineRule="auto"/>
        <w:rPr>
          <w:sz w:val="20"/>
          <w:szCs w:val="20"/>
          <w:color w:val="auto"/>
        </w:rPr>
      </w:pPr>
      <w:r>
        <w:rPr>
          <w:rFonts w:ascii="Times New Roman" w:cs="Times New Roman" w:eastAsia="Times New Roman" w:hAnsi="Times New Roman"/>
          <w:sz w:val="14"/>
          <w:szCs w:val="14"/>
          <w:color w:val="auto"/>
        </w:rPr>
        <w:t>BofA Securities, Inc., Truist Securities, Inc. and Wells Fargo Securities, LLC are acting as representatives of each of the underwriters named below. Subject to the terms and conditions of the underwriting agreement dated the date of this prospectus supplement, the underwriters named below have severally, and not jointly, agreed to purchase from us, and we have agreed to sell to the underwriters, the principal amount of notes listed opposite their names below at the public offering price less the underwriting discount set forth on the cover page of this prospectus supplement:</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2700" w:type="dxa"/>
            <w:vAlign w:val="bottom"/>
            <w:vMerge w:val="restart"/>
          </w:tcPr>
          <w:p>
            <w:pPr>
              <w:spacing w:after="0"/>
              <w:rPr>
                <w:sz w:val="11"/>
                <w:szCs w:val="11"/>
                <w:color w:val="auto"/>
              </w:rPr>
            </w:pPr>
          </w:p>
        </w:tc>
        <w:tc>
          <w:tcPr>
            <w:tcW w:w="1560" w:type="dxa"/>
            <w:vAlign w:val="bottom"/>
          </w:tcPr>
          <w:p>
            <w:pPr>
              <w:spacing w:after="0"/>
              <w:rPr>
                <w:sz w:val="11"/>
                <w:szCs w:val="11"/>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Principal amount</w:t>
            </w:r>
          </w:p>
        </w:tc>
        <w:tc>
          <w:tcPr>
            <w:tcW w:w="0" w:type="dxa"/>
            <w:vAlign w:val="bottom"/>
          </w:tcPr>
          <w:p>
            <w:pPr>
              <w:spacing w:after="0"/>
              <w:rPr>
                <w:sz w:val="1"/>
                <w:szCs w:val="1"/>
                <w:color w:val="auto"/>
              </w:rPr>
            </w:pPr>
          </w:p>
        </w:tc>
      </w:tr>
      <w:tr>
        <w:trPr>
          <w:trHeight w:val="144"/>
        </w:trPr>
        <w:tc>
          <w:tcPr>
            <w:tcW w:w="62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of Notes</w:t>
            </w:r>
          </w:p>
        </w:tc>
        <w:tc>
          <w:tcPr>
            <w:tcW w:w="0" w:type="dxa"/>
            <w:vAlign w:val="bottom"/>
          </w:tcPr>
          <w:p>
            <w:pPr>
              <w:spacing w:after="0"/>
              <w:rPr>
                <w:sz w:val="1"/>
                <w:szCs w:val="1"/>
                <w:color w:val="auto"/>
              </w:rPr>
            </w:pPr>
          </w:p>
        </w:tc>
      </w:tr>
      <w:tr>
        <w:trPr>
          <w:trHeight w:val="148"/>
        </w:trPr>
        <w:tc>
          <w:tcPr>
            <w:tcW w:w="33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BofA Securities, Inc.</w:t>
            </w:r>
          </w:p>
        </w:tc>
        <w:tc>
          <w:tcPr>
            <w:tcW w:w="1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87,500,000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63,750,000</w:t>
            </w:r>
          </w:p>
        </w:tc>
        <w:tc>
          <w:tcPr>
            <w:tcW w:w="0" w:type="dxa"/>
            <w:vAlign w:val="bottom"/>
          </w:tcPr>
          <w:p>
            <w:pPr>
              <w:spacing w:after="0"/>
              <w:rPr>
                <w:sz w:val="1"/>
                <w:szCs w:val="1"/>
                <w:color w:val="auto"/>
              </w:rPr>
            </w:pPr>
          </w:p>
        </w:tc>
      </w:tr>
      <w:tr>
        <w:trPr>
          <w:trHeight w:val="167"/>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63,750,000</w:t>
            </w: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38,750,000</w:t>
            </w:r>
          </w:p>
        </w:tc>
        <w:tc>
          <w:tcPr>
            <w:tcW w:w="0" w:type="dxa"/>
            <w:vAlign w:val="bottom"/>
          </w:tcPr>
          <w:p>
            <w:pPr>
              <w:spacing w:after="0"/>
              <w:rPr>
                <w:sz w:val="1"/>
                <w:szCs w:val="1"/>
                <w:color w:val="auto"/>
              </w:rPr>
            </w:pPr>
          </w:p>
        </w:tc>
      </w:tr>
      <w:tr>
        <w:trPr>
          <w:trHeight w:val="167"/>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38,750,000</w:t>
            </w: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38,750,000</w:t>
            </w:r>
          </w:p>
        </w:tc>
        <w:tc>
          <w:tcPr>
            <w:tcW w:w="0" w:type="dxa"/>
            <w:vAlign w:val="bottom"/>
          </w:tcPr>
          <w:p>
            <w:pPr>
              <w:spacing w:after="0"/>
              <w:rPr>
                <w:sz w:val="1"/>
                <w:szCs w:val="1"/>
                <w:color w:val="auto"/>
              </w:rPr>
            </w:pPr>
          </w:p>
        </w:tc>
      </w:tr>
      <w:tr>
        <w:trPr>
          <w:trHeight w:val="167"/>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38,750,000</w:t>
            </w: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Citizens JMP Securities, LLC</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7"/>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HSBC Securities (USA) Inc.</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ING Financial Markets LLC</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7"/>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M&amp;T Securities, Inc.</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7"/>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8"/>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BBVA Securities Inc.</w:t>
            </w: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36" w:lineRule="exact"/>
        <w:rPr>
          <w:sz w:val="20"/>
          <w:szCs w:val="20"/>
          <w:color w:val="auto"/>
        </w:rPr>
      </w:pPr>
    </w:p>
    <w:p>
      <w:pPr>
        <w:jc w:val="both"/>
        <w:ind w:left="240" w:right="679" w:firstLine="341"/>
        <w:spacing w:after="0" w:line="321" w:lineRule="auto"/>
        <w:rPr>
          <w:sz w:val="20"/>
          <w:szCs w:val="20"/>
          <w:color w:val="auto"/>
        </w:rPr>
      </w:pPr>
      <w:r>
        <w:rPr>
          <w:rFonts w:ascii="Times New Roman" w:cs="Times New Roman" w:eastAsia="Times New Roman" w:hAnsi="Times New Roman"/>
          <w:sz w:val="13"/>
          <w:szCs w:val="13"/>
          <w:color w:val="auto"/>
        </w:rPr>
        <w:t>We have agreed to indemnify the underwriters and their controlling persons against certain liabilities in connection with this notes offering, including liabilities under the Securities Act, or to contribute to payments the underwriters may be required to make in respect of those liabilities.</w:t>
      </w:r>
    </w:p>
    <w:p>
      <w:pPr>
        <w:spacing w:after="0" w:line="102" w:lineRule="exact"/>
        <w:rPr>
          <w:sz w:val="20"/>
          <w:szCs w:val="20"/>
          <w:color w:val="auto"/>
        </w:rPr>
      </w:pPr>
    </w:p>
    <w:p>
      <w:pPr>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The underwriters may offer and sell through certain of their affiliates.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Commissions and Discount</w:t>
      </w:r>
    </w:p>
    <w:p>
      <w:pPr>
        <w:spacing w:after="0" w:line="92" w:lineRule="exact"/>
        <w:rPr>
          <w:sz w:val="20"/>
          <w:szCs w:val="20"/>
          <w:color w:val="auto"/>
        </w:rPr>
      </w:pPr>
    </w:p>
    <w:p>
      <w:pPr>
        <w:ind w:left="240" w:right="399" w:firstLine="341"/>
        <w:spacing w:after="0" w:line="260" w:lineRule="auto"/>
        <w:rPr>
          <w:sz w:val="20"/>
          <w:szCs w:val="20"/>
          <w:color w:val="auto"/>
        </w:rPr>
      </w:pPr>
      <w:r>
        <w:rPr>
          <w:rFonts w:ascii="Times New Roman" w:cs="Times New Roman" w:eastAsia="Times New Roman" w:hAnsi="Times New Roman"/>
          <w:sz w:val="14"/>
          <w:szCs w:val="14"/>
          <w:color w:val="auto"/>
        </w:rPr>
        <w:t>The representatives have advised us that the underwriters propose initially to offer the notes to the public at the public offering price set forth on the cover page of this prospectus supplement, and may offer the notes to certain dealers at such price less a concession not in excess of 0.250% of the principal amount of the notes. In addition, the underwriters may allow, and such dealers may reallow, a concession not in excess of 0.150% of the principal amount of the notes. After the initial offering, the public offering price, concession or any other terms of the offering may be changed.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8"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expenses of the offering, not including the underwriting discount, are estimated at $1.2 million and are payable by us.</w:t>
      </w:r>
    </w:p>
    <w:p>
      <w:pPr>
        <w:spacing w:after="0" w:line="174" w:lineRule="exact"/>
        <w:rPr>
          <w:sz w:val="20"/>
          <w:szCs w:val="20"/>
          <w:color w:val="auto"/>
        </w:rPr>
      </w:pPr>
    </w:p>
    <w:p>
      <w:pPr>
        <w:ind w:left="240" w:right="359" w:firstLine="341"/>
        <w:spacing w:after="0" w:line="260" w:lineRule="auto"/>
        <w:rPr>
          <w:sz w:val="20"/>
          <w:szCs w:val="20"/>
          <w:color w:val="auto"/>
        </w:rPr>
      </w:pPr>
      <w:r>
        <w:rPr>
          <w:rFonts w:ascii="Times New Roman" w:cs="Times New Roman" w:eastAsia="Times New Roman" w:hAnsi="Times New Roman"/>
          <w:sz w:val="14"/>
          <w:szCs w:val="14"/>
          <w:color w:val="auto"/>
        </w:rPr>
        <w:t>It is expected that delivery of the notes in this offering will be made against payment therefor by purchasers in this offering on or about February 5, 2026, which is the second business day following the pricing date of the notes (such settlement cycle being referred to as T+2).</w:t>
      </w:r>
    </w:p>
    <w:p>
      <w:pPr>
        <w:spacing w:after="0" w:line="1" w:lineRule="exact"/>
        <w:rPr>
          <w:sz w:val="20"/>
          <w:szCs w:val="20"/>
          <w:color w:val="auto"/>
        </w:rPr>
      </w:pPr>
    </w:p>
    <w:p>
      <w:pPr>
        <w:ind w:left="240" w:right="299"/>
        <w:spacing w:after="0" w:line="254" w:lineRule="auto"/>
        <w:rPr>
          <w:sz w:val="20"/>
          <w:szCs w:val="20"/>
          <w:color w:val="auto"/>
        </w:rPr>
      </w:pPr>
      <w:r>
        <w:rPr>
          <w:rFonts w:ascii="Times New Roman" w:cs="Times New Roman" w:eastAsia="Times New Roman" w:hAnsi="Times New Roman"/>
          <w:sz w:val="14"/>
          <w:szCs w:val="14"/>
          <w:color w:val="auto"/>
        </w:rPr>
        <w:t>Under Rule 15c6-1 under the Exchange Act, trades in the secondary market generally are required to settle in one business day, unless the parties to any such trade expressly agree otherwise. Accordingly, purchasers who wish to trade the notes before the business day prior to February 5, 2026 will be required to specify alternative settlement arrangements at the time of any such trade to prevent a failed settlement.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New Issue of Notes</w:t>
      </w:r>
    </w:p>
    <w:p>
      <w:pPr>
        <w:spacing w:after="0" w:line="92" w:lineRule="exact"/>
        <w:rPr>
          <w:sz w:val="20"/>
          <w:szCs w:val="20"/>
          <w:color w:val="auto"/>
        </w:rPr>
      </w:pPr>
    </w:p>
    <w:p>
      <w:pPr>
        <w:ind w:left="240" w:right="279" w:firstLine="341"/>
        <w:spacing w:after="0" w:line="256"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do not intend to apply for listing of the notes on any securities exchange or for inclusion of the notes on any automated dealer quotation system. We have been advised by the underwriters that they presently intend to make a market in the notes after completion of the offering. However, they are under no obligation to do so and may discontinue any market-</w:t>
      </w:r>
    </w:p>
    <w:p>
      <w:pPr>
        <w:spacing w:after="0" w:line="2" w:lineRule="exact"/>
        <w:rPr>
          <w:sz w:val="20"/>
          <w:szCs w:val="20"/>
          <w:color w:val="auto"/>
        </w:rPr>
      </w:pPr>
    </w:p>
    <w:p>
      <w:pPr>
        <w:ind w:left="240" w:right="259"/>
        <w:spacing w:after="0" w:line="251" w:lineRule="auto"/>
        <w:rPr>
          <w:sz w:val="20"/>
          <w:szCs w:val="20"/>
          <w:color w:val="auto"/>
        </w:rPr>
      </w:pPr>
      <w:r>
        <w:rPr>
          <w:rFonts w:ascii="Times New Roman" w:cs="Times New Roman" w:eastAsia="Times New Roman" w:hAnsi="Times New Roman"/>
          <w:sz w:val="14"/>
          <w:szCs w:val="14"/>
          <w:color w:val="auto"/>
        </w:rPr>
        <w: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Moreover, the condition of the financial markets and prevailing interest rates have fluctuated in the past and are likely to fluctuate in the future, which could have an adverse effect on the market prices of the notes.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Short Positions</w:t>
      </w:r>
    </w:p>
    <w:p>
      <w:pPr>
        <w:spacing w:after="0" w:line="92"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43"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3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2"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affiliates may be dealers under our commercial paper program. In addition, U.S. Bancorp Investments, Inc., one of the underwriters, is an affiliate of the trustee under the indenture governing the notes.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40" w:right="1440" w:bottom="1440" w:gutter="0" w:footer="0" w:header="0"/>
        </w:sectPr>
      </w:pPr>
    </w:p>
    <w:bookmarkStart w:id="29" w:name="page30"/>
    <w:bookmarkEnd w:id="29"/>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92"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notes in any Member State of the European Economic Area (“EEA”) will be made pursuant to an exemption under the Prospectus Regulation from the requirement to publish a prospectus for offers of notes. The expression “Prospectus Regulation” means Regulation (EU) 2017/1129 (as amended or superseded), and includes any relevant implementing measure in each Member State of the EEA.</w:t>
      </w:r>
    </w:p>
    <w:p>
      <w:pPr>
        <w:spacing w:after="0" w:line="140"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Accordingly, any person making or intending to make an offer within the EEA of notes, which are the subject of the offering contemplated in this prospectus supplement, may only do so in circumstances in which no obligation arises for the Company or any of the underwriters to produce a prospectus for such offer.</w:t>
      </w:r>
    </w:p>
    <w:p>
      <w:pPr>
        <w:spacing w:after="0" w:line="136" w:lineRule="exact"/>
        <w:rPr>
          <w:sz w:val="20"/>
          <w:szCs w:val="20"/>
          <w:color w:val="auto"/>
        </w:rPr>
      </w:pPr>
    </w:p>
    <w:p>
      <w:pPr>
        <w:ind w:left="240" w:right="339" w:firstLine="341"/>
        <w:spacing w:after="0" w:line="321" w:lineRule="auto"/>
        <w:rPr>
          <w:sz w:val="20"/>
          <w:szCs w:val="20"/>
          <w:color w:val="auto"/>
        </w:rPr>
      </w:pPr>
      <w:r>
        <w:rPr>
          <w:rFonts w:ascii="Times New Roman" w:cs="Times New Roman" w:eastAsia="Times New Roman" w:hAnsi="Times New Roman"/>
          <w:sz w:val="13"/>
          <w:szCs w:val="13"/>
          <w:color w:val="auto"/>
        </w:rPr>
        <w:t>Neither the Company nor the underwriters have authorized, nor do they authorize, the making of any offer of notes through any financial intermediary, other than offers made by the underwriters, which constitute the final placement of the notes contemplated in this prospectus supplement.</w:t>
      </w:r>
    </w:p>
    <w:p>
      <w:pPr>
        <w:spacing w:after="0" w:line="102" w:lineRule="exact"/>
        <w:rPr>
          <w:sz w:val="20"/>
          <w:szCs w:val="20"/>
          <w:color w:val="auto"/>
        </w:rPr>
      </w:pPr>
    </w:p>
    <w:p>
      <w:pPr>
        <w:ind w:left="240" w:right="479" w:firstLine="341"/>
        <w:spacing w:after="0" w:line="281" w:lineRule="auto"/>
        <w:rPr>
          <w:sz w:val="20"/>
          <w:szCs w:val="20"/>
          <w:color w:val="auto"/>
        </w:rPr>
      </w:pPr>
      <w:r>
        <w:rPr>
          <w:rFonts w:ascii="Times New Roman" w:cs="Times New Roman" w:eastAsia="Times New Roman" w:hAnsi="Times New Roman"/>
          <w:sz w:val="14"/>
          <w:szCs w:val="14"/>
          <w:color w:val="auto"/>
        </w:rPr>
        <w:t>Each underwriter has represented and agreed that it has not offered, sold or otherwise made available and will not offer, sell or otherwise make available any notes to any retail investor in the EEA. For the purposes of this provision:</w:t>
      </w:r>
    </w:p>
    <w:p>
      <w:pPr>
        <w:spacing w:after="0" w:line="52" w:lineRule="exact"/>
        <w:rPr>
          <w:sz w:val="20"/>
          <w:szCs w:val="20"/>
          <w:color w:val="auto"/>
        </w:rPr>
      </w:pPr>
    </w:p>
    <w:p>
      <w:pPr>
        <w:ind w:left="560" w:hanging="325"/>
        <w:spacing w:after="0"/>
        <w:tabs>
          <w:tab w:leader="none" w:pos="5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“retail investor” means a person who is one (or more) of the following:</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retail client as defined in point (11) of Article 4(1) of Directive 2014/65/EU (as amended, “MiFID II”);</w:t>
      </w:r>
    </w:p>
    <w:p>
      <w:pPr>
        <w:spacing w:after="0" w:line="100" w:lineRule="exact"/>
        <w:rPr>
          <w:rFonts w:ascii="Times New Roman" w:cs="Times New Roman" w:eastAsia="Times New Roman" w:hAnsi="Times New Roman"/>
          <w:sz w:val="14"/>
          <w:szCs w:val="14"/>
          <w:color w:val="auto"/>
        </w:rPr>
      </w:pPr>
    </w:p>
    <w:p>
      <w:pPr>
        <w:ind w:left="980" w:right="619" w:hanging="411"/>
        <w:spacing w:after="0" w:line="281" w:lineRule="auto"/>
        <w:tabs>
          <w:tab w:leader="none" w:pos="9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Directive (EU) 2016/97 (as amended, the “Insurance Distribution Directive”), where that customer would not qualify as a professional client as defined in point (10) of Article 4(1) of MiFID II; or</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qualified investor as defined in the Prospectus Regulation; and</w:t>
      </w:r>
    </w:p>
    <w:p>
      <w:pPr>
        <w:spacing w:after="0" w:line="100" w:lineRule="exact"/>
        <w:rPr>
          <w:rFonts w:ascii="Times New Roman" w:cs="Times New Roman" w:eastAsia="Times New Roman" w:hAnsi="Times New Roman"/>
          <w:sz w:val="14"/>
          <w:szCs w:val="14"/>
          <w:color w:val="auto"/>
        </w:rPr>
      </w:pPr>
    </w:p>
    <w:p>
      <w:pPr>
        <w:ind w:left="560" w:right="339" w:hanging="325"/>
        <w:spacing w:after="0" w:line="265" w:lineRule="auto"/>
        <w:tabs>
          <w:tab w:leader="none" w:pos="5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“offer” in relation to any notes in any Member State includes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Regulation in that Member State.</w:t>
      </w:r>
    </w:p>
    <w:p>
      <w:pPr>
        <w:spacing w:after="0" w:line="136" w:lineRule="exact"/>
        <w:rPr>
          <w:sz w:val="20"/>
          <w:szCs w:val="20"/>
          <w:color w:val="auto"/>
        </w:rPr>
      </w:pPr>
    </w:p>
    <w:p>
      <w:pPr>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40" w:right="1440" w:bottom="1440" w:gutter="0" w:footer="0" w:header="0"/>
        </w:sectPr>
      </w:pPr>
    </w:p>
    <w:bookmarkStart w:id="30" w:name="page31"/>
    <w:bookmarkEnd w:id="30"/>
    <w:p>
      <w:pPr>
        <w:ind w:left="240" w:right="519" w:firstLine="34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Each person in a Member State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the notes is not a “retail investor”.</w:t>
      </w:r>
    </w:p>
    <w:p>
      <w:pPr>
        <w:spacing w:after="0" w:line="140" w:lineRule="exact"/>
        <w:rPr>
          <w:sz w:val="20"/>
          <w:szCs w:val="20"/>
          <w:color w:val="auto"/>
        </w:rPr>
      </w:pPr>
    </w:p>
    <w:p>
      <w:pPr>
        <w:ind w:left="240" w:right="479" w:firstLine="341"/>
        <w:spacing w:after="0" w:line="280" w:lineRule="auto"/>
        <w:rPr>
          <w:sz w:val="20"/>
          <w:szCs w:val="20"/>
          <w:color w:val="auto"/>
        </w:rPr>
      </w:pPr>
      <w:r>
        <w:rPr>
          <w:rFonts w:ascii="Times New Roman" w:cs="Times New Roman" w:eastAsia="Times New Roman" w:hAnsi="Times New Roman"/>
          <w:sz w:val="13"/>
          <w:szCs w:val="13"/>
          <w:color w:val="auto"/>
        </w:rPr>
        <w:t>Solely for the purposes of each manufacturer’s approval process of the notes, the target market assessment in respect of the notes has led to the conclusion that: (i) the target market for the notes is eligible counterparties (“ECPs”) and professional clients only, each as defined in MiFID II; and</w:t>
      </w:r>
    </w:p>
    <w:p>
      <w:pPr>
        <w:spacing w:after="0" w:line="1" w:lineRule="exact"/>
        <w:rPr>
          <w:sz w:val="20"/>
          <w:szCs w:val="20"/>
          <w:color w:val="auto"/>
        </w:rPr>
      </w:pPr>
    </w:p>
    <w:p>
      <w:pPr>
        <w:ind w:left="240" w:right="279" w:hanging="5"/>
        <w:spacing w:after="0" w:line="252" w:lineRule="auto"/>
        <w:tabs>
          <w:tab w:leader="none" w:pos="44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channels for distribution of the notes to ECPs and professional clients are appropriate. Any person subsequently offering, selling or recommending the notes (a “distributor”) should take into consideration the manufacturer’s target market assessment; however, and without prejudice to our obligations in accordance with MiFID II,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92"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notes in the United Kingdom (“UK”) will be made pursuant to an exemption under the Prospectus Regulation as it forms part of domestic law by virtue of the European Union (Withdrawal) Act 2018 (the “UK Prospectus Regulation”) and the Financial Services and Markets Act 2000 (as amended, the “FSMA”) from the requirement to publish a prospectus for offers of notes. Accordingly, any person making or intending to make an offer in the UK of the notes, which are the subject of the offering contemplated in this prospectus supplement, may only do so to legal entities which are not “retail investors” as defined below, provided that no such offer of notes shall require the Company or any of the underwriters to publish a prospectus pursuant to Article 3 of the UK Prospectus Regulation or section 85 of the FSMA or supplement a prospectus pursuant to Article 23 of the UK Prospectus Regulation, in each case in relation to such offer.</w:t>
      </w:r>
    </w:p>
    <w:p>
      <w:pPr>
        <w:spacing w:after="0" w:line="144"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Neither the Company nor the underwriters have authorized, nor do they authorize, the making of any offer of notes to any legal entity which is not a retail investor. Neither the Company nor the underwriters have authorized, nor do they authorize, the making of any offer of notes through any financial intermediary, other than offers made by the underwriters, which constitute the final placement of the notes contemplated in this prospectus supplement.</w:t>
      </w:r>
    </w:p>
    <w:p>
      <w:pPr>
        <w:spacing w:after="0" w:line="140" w:lineRule="exact"/>
        <w:rPr>
          <w:sz w:val="20"/>
          <w:szCs w:val="20"/>
          <w:color w:val="auto"/>
        </w:rPr>
      </w:pPr>
    </w:p>
    <w:p>
      <w:pPr>
        <w:ind w:left="240" w:right="439" w:firstLine="341"/>
        <w:spacing w:after="0" w:line="260" w:lineRule="auto"/>
        <w:rPr>
          <w:sz w:val="20"/>
          <w:szCs w:val="20"/>
          <w:color w:val="auto"/>
        </w:rPr>
      </w:pPr>
      <w:r>
        <w:rPr>
          <w:rFonts w:ascii="Times New Roman" w:cs="Times New Roman" w:eastAsia="Times New Roman" w:hAnsi="Times New Roman"/>
          <w:sz w:val="14"/>
          <w:szCs w:val="14"/>
          <w:color w:val="auto"/>
        </w:rPr>
        <w:t>Each underwriter has represented and agreed that it has not offered, sold or otherwise made available, and will not offer, sell or otherwise make available, any notes to any retail investor in the UK. For the purposes of this provision, the expression “retail investor” means a person who is not a qualified investor as defined in paragraph 15 of Schedule 1 to the Public Offers and Admissions to Trading Regulations 2024 (the “Public Offers Regulation”).</w:t>
      </w:r>
    </w:p>
    <w:p>
      <w:pPr>
        <w:spacing w:after="0" w:line="140" w:lineRule="exact"/>
        <w:rPr>
          <w:sz w:val="20"/>
          <w:szCs w:val="20"/>
          <w:color w:val="auto"/>
        </w:rPr>
      </w:pPr>
    </w:p>
    <w:p>
      <w:pPr>
        <w:ind w:left="240" w:right="339" w:firstLine="341"/>
        <w:spacing w:after="0" w:line="279" w:lineRule="auto"/>
        <w:rPr>
          <w:sz w:val="20"/>
          <w:szCs w:val="20"/>
          <w:color w:val="auto"/>
        </w:rPr>
      </w:pPr>
      <w:r>
        <w:rPr>
          <w:rFonts w:ascii="Times New Roman" w:cs="Times New Roman" w:eastAsia="Times New Roman" w:hAnsi="Times New Roman"/>
          <w:sz w:val="13"/>
          <w:szCs w:val="13"/>
          <w:color w:val="auto"/>
        </w:rPr>
        <w:t>Consequently, no key information document required by Regulation (EU) No 1286/2014 as it forms part of domestic law by virtue of the European Union (Withdrawal) Act 2018 (the “EUWA”) (the “UK PRIIPs Regulation”) for offering or selling the notes or otherwise making them available to any retail investor in the UK has been prepared and therefore offering or selling the notes or otherwise making them available to any retail investor in the UK may be unlawful under the UK PRIIPs Regulation. This prospectus supplement has been prepared on the basis that any offer of the notes in the UK will be made pursuant to an exception under the Public Offers Regulation from the prohibition on offers to the public. This prospectus supplement is not a prospectus for the purposes of the Public Offers Regulation or an approved prospectus for the purposes of Section 85 of the FMSA.</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40" w:right="1440" w:bottom="1440" w:gutter="0" w:footer="0" w:header="0"/>
        </w:sectPr>
      </w:pPr>
    </w:p>
    <w:bookmarkStart w:id="31" w:name="page32"/>
    <w:bookmarkEnd w:id="31"/>
    <w:p>
      <w:pPr>
        <w:ind w:left="240" w:right="419" w:firstLine="341"/>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Each person in the UK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notes is not a “retail investor”.</w:t>
      </w:r>
    </w:p>
    <w:p>
      <w:pPr>
        <w:spacing w:after="0" w:line="136"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44"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This prospectus supplement is for distribution only to, and is directed solely at, persons who (i) have professional experience in matters relating to investments and falling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UK, or (iv) are persons to whom an invitation or inducement to engage in investment banking activity (within the meaning of section 21 of the FSMA) in connection with the issue or sale of any notes may otherwise be lawfully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Any person who is not a relevant person should not act or rely on this prospectus supplement or any of its contents.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92" w:lineRule="exact"/>
        <w:rPr>
          <w:sz w:val="20"/>
          <w:szCs w:val="20"/>
          <w:color w:val="auto"/>
        </w:rPr>
      </w:pPr>
    </w:p>
    <w:p>
      <w:pPr>
        <w:ind w:left="240" w:right="319"/>
        <w:spacing w:after="0" w:line="257" w:lineRule="auto"/>
        <w:rPr>
          <w:sz w:val="20"/>
          <w:szCs w:val="20"/>
          <w:color w:val="auto"/>
        </w:rPr>
      </w:pPr>
      <w:r>
        <w:rPr>
          <w:rFonts w:ascii="Times New Roman" w:cs="Times New Roman" w:eastAsia="Times New Roman" w:hAnsi="Times New Roman"/>
          <w:sz w:val="14"/>
          <w:szCs w:val="14"/>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FinSA and neither this document nor any other offering or marketing material relating to the notes or the offering may be publicly distributed or otherwise made publicly available in Switzerland.</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92" w:lineRule="exact"/>
        <w:rPr>
          <w:sz w:val="20"/>
          <w:szCs w:val="20"/>
          <w:color w:val="auto"/>
        </w:rPr>
      </w:pPr>
    </w:p>
    <w:p>
      <w:pPr>
        <w:ind w:left="240" w:right="239" w:firstLine="341"/>
        <w:spacing w:after="0" w:line="253"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for distribution only to persons who (a) are outside the Dubai International Financial Centre, (b) are Professional Clients (as such term is defined under Rule 2.3.4 of the Conduct of Business Module of the DFSA), or (c) are persons to whom an invitation or inducement to: (a) enter into an agreement in relation to the provision of a financial services or (b) exercise any rights conferred by a financial product or acquire, dispose of, underwrite or convert a financial product (within the meaning of Article 41A of the Regulatory Law)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40" w:right="1440" w:bottom="1440" w:gutter="0" w:footer="0" w:header="0"/>
        </w:sectPr>
      </w:pPr>
    </w:p>
    <w:bookmarkStart w:id="32" w:name="page33"/>
    <w:bookmarkEnd w:id="32"/>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92" w:lineRule="exact"/>
        <w:rPr>
          <w:sz w:val="20"/>
          <w:szCs w:val="20"/>
          <w:color w:val="auto"/>
        </w:rPr>
      </w:pPr>
    </w:p>
    <w:p>
      <w:pPr>
        <w:ind w:left="240" w:right="599" w:firstLine="341"/>
        <w:spacing w:after="0" w:line="260" w:lineRule="auto"/>
        <w:rPr>
          <w:sz w:val="20"/>
          <w:szCs w:val="20"/>
          <w:color w:val="auto"/>
        </w:rPr>
      </w:pPr>
      <w:r>
        <w:rPr>
          <w:rFonts w:ascii="Times New Roman" w:cs="Times New Roman" w:eastAsia="Times New Roman" w:hAnsi="Times New Roman"/>
          <w:sz w:val="14"/>
          <w:szCs w:val="14"/>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notes must be made in accordance with an exemption from, or in a transaction not subject to, the prospectus requirements of applicable securities laws.</w:t>
      </w:r>
    </w:p>
    <w:p>
      <w:pPr>
        <w:spacing w:after="0" w:line="140" w:lineRule="exact"/>
        <w:rPr>
          <w:sz w:val="20"/>
          <w:szCs w:val="20"/>
          <w:color w:val="auto"/>
        </w:rPr>
      </w:pPr>
    </w:p>
    <w:p>
      <w:pPr>
        <w:ind w:left="240" w:right="499" w:firstLine="341"/>
        <w:spacing w:after="0" w:line="257"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3"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40"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EXPERTS</w:t>
      </w:r>
    </w:p>
    <w:p>
      <w:pPr>
        <w:spacing w:after="0" w:line="176" w:lineRule="exact"/>
        <w:rPr>
          <w:sz w:val="20"/>
          <w:szCs w:val="20"/>
          <w:color w:val="auto"/>
        </w:rPr>
      </w:pPr>
    </w:p>
    <w:p>
      <w:pPr>
        <w:ind w:left="240" w:right="259" w:firstLine="341"/>
        <w:spacing w:after="0" w:line="277" w:lineRule="auto"/>
        <w:rPr>
          <w:sz w:val="20"/>
          <w:szCs w:val="20"/>
          <w:color w:val="auto"/>
        </w:rPr>
      </w:pPr>
      <w:r>
        <w:rPr>
          <w:rFonts w:ascii="Times New Roman" w:cs="Times New Roman" w:eastAsia="Times New Roman" w:hAnsi="Times New Roman"/>
          <w:sz w:val="13"/>
          <w:szCs w:val="13"/>
          <w:color w:val="auto"/>
        </w:rPr>
        <w:t>The consolidated financial statements of McCormick &amp; Company, Incorporated and subsidiaries appearing in McCormick &amp; Company, Incorporated’s Annual Report (Form 10-K) for the year ended November 30, 2025 (including the schedule appearing therein), and the effectiveness of McCormick &amp; Company, Incorporated’s internal control over financial reporting as of November 30,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Commission) given on the authority of such firm as experts in accounting and auditing.</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9019"/>
          </w:cols>
          <w:pgMar w:left="1440" w:top="238"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LEGAL MATTERS</w:t>
      </w:r>
    </w:p>
    <w:p>
      <w:pPr>
        <w:spacing w:after="0" w:line="176" w:lineRule="exact"/>
        <w:rPr>
          <w:sz w:val="20"/>
          <w:szCs w:val="20"/>
          <w:color w:val="auto"/>
        </w:rPr>
      </w:pPr>
    </w:p>
    <w:p>
      <w:pPr>
        <w:ind w:left="240" w:right="459" w:firstLine="341"/>
        <w:spacing w:after="0" w:line="281" w:lineRule="auto"/>
        <w:rPr>
          <w:sz w:val="20"/>
          <w:szCs w:val="20"/>
          <w:color w:val="auto"/>
        </w:rPr>
      </w:pPr>
      <w:r>
        <w:rPr>
          <w:rFonts w:ascii="Times New Roman" w:cs="Times New Roman" w:eastAsia="Times New Roman" w:hAnsi="Times New Roman"/>
          <w:sz w:val="14"/>
          <w:szCs w:val="14"/>
          <w:color w:val="auto"/>
        </w:rPr>
        <w:t>Certain legal matters in connection with the notes will be passed upon for McCormick by Wilmer Cutler Pickering Hale and Dorr LLP. Certain legal matters in connection with this notes offering will be passed on for the underwriters by Weil, Gotshal &amp; Manges LLP.</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9019"/>
          </w:cols>
          <w:pgMar w:left="1440" w:top="238"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WHERE YOU CAN FIND MORE INFORMATION AND INCORPORATION BY REFERENCE</w:t>
      </w:r>
    </w:p>
    <w:p>
      <w:pPr>
        <w:spacing w:after="0" w:line="176"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Commission. The Commission maintains a website at www.sec.gov that contains reports, proxies, information statements and other information regarding registrants, including us, that file electronically with the Commission. Our Commission filings are also available free of charge through the “Investors” section of our website at ir.mccormick.com as soon as reasonably practicable after such materials are filed with, or furnished to, the Commission. Information on or connected to our website does not constitute a part of this prospectus supplement or the accompanying prospectus and is not incorporated by reference into this prospectus supplement or the accompanying prospectus.</w:t>
      </w:r>
    </w:p>
    <w:p>
      <w:pPr>
        <w:spacing w:after="0" w:line="146"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The Commission allows us to “incorporate by reference” into this prospectus supplement information contained in the documents we file with them, which means that we can disclose important information to you by referring you to another document filed separately with the Commission. The information incorporated by reference is an important part of this prospectus supplement, and the information may include documents filed after the date of this prospectus supplement which update and supersede the information you read in this prospectus. We incorporate by reference the documents listed below and any future filings we make with the Commission under Sections 13(a), 13(c), 14 or 15(d) of the Exchange Act from the date of this prospectus supplement until the completion of the offering to which this prospectus supplement relates or this offering is terminated (in no event, however, will any of the information that we disclose under Items 2.02 and 7.01 of any Current Report on Form 8-K that we may from time to time furnish to the Commission be incorporated by reference into, or otherwise included in, this prospectus supplement or the accompanying prospectus):</w:t>
      </w:r>
    </w:p>
    <w:p>
      <w:pPr>
        <w:spacing w:after="0" w:line="71" w:lineRule="exact"/>
        <w:rPr>
          <w:sz w:val="20"/>
          <w:szCs w:val="20"/>
          <w:color w:val="auto"/>
        </w:rPr>
      </w:pPr>
    </w:p>
    <w:p>
      <w:pPr>
        <w:ind w:left="980" w:hanging="327"/>
        <w:spacing w:after="0"/>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November 30, 2025, filed with the Commission on January 22, 2026;</w:t>
      </w:r>
    </w:p>
    <w:p>
      <w:pPr>
        <w:spacing w:after="0" w:line="100"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filed on </w:t>
      </w:r>
      <w:hyperlink r:id="rId50">
        <w:r>
          <w:rPr>
            <w:rFonts w:ascii="Times New Roman" w:cs="Times New Roman" w:eastAsia="Times New Roman" w:hAnsi="Times New Roman"/>
            <w:sz w:val="14"/>
            <w:szCs w:val="14"/>
            <w:u w:val="single" w:color="auto"/>
            <w:color w:val="0000EE"/>
          </w:rPr>
          <w:t>January 21,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in such report that is deemed to have been furnished to, rather than filed with, the Commission in accordance with the Commission rules); and</w:t>
      </w:r>
    </w:p>
    <w:p>
      <w:pPr>
        <w:spacing w:after="0" w:line="52" w:lineRule="exact"/>
        <w:rPr>
          <w:rFonts w:ascii="Times New Roman" w:cs="Times New Roman" w:eastAsia="Times New Roman" w:hAnsi="Times New Roman"/>
          <w:sz w:val="14"/>
          <w:szCs w:val="14"/>
          <w:color w:val="auto"/>
        </w:rPr>
      </w:pPr>
    </w:p>
    <w:p>
      <w:pPr>
        <w:ind w:left="980" w:right="779" w:hanging="327"/>
        <w:spacing w:after="0" w:line="281" w:lineRule="auto"/>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the Definitive Proxy Statement on </w:t>
      </w:r>
      <w:hyperlink r:id="rId51">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Commission on February 13, 2025 incorporated by reference in the Annual Report on Form 10-K for the year ended November 30, 2024.</w:t>
      </w:r>
    </w:p>
    <w:p>
      <w:pPr>
        <w:spacing w:after="0" w:line="125" w:lineRule="exact"/>
        <w:rPr>
          <w:rFonts w:ascii="Times New Roman" w:cs="Times New Roman" w:eastAsia="Times New Roman" w:hAnsi="Times New Roman"/>
          <w:sz w:val="14"/>
          <w:szCs w:val="14"/>
          <w:color w:val="auto"/>
        </w:rPr>
      </w:pPr>
    </w:p>
    <w:p>
      <w:pPr>
        <w:ind w:left="240" w:right="479" w:firstLine="341"/>
        <w:spacing w:after="0" w:line="286" w:lineRule="auto"/>
        <w:rPr>
          <w:sz w:val="20"/>
          <w:szCs w:val="20"/>
          <w:color w:val="auto"/>
        </w:rPr>
      </w:pPr>
      <w:r>
        <w:rPr>
          <w:rFonts w:ascii="Times New Roman" w:cs="Times New Roman" w:eastAsia="Times New Roman" w:hAnsi="Times New Roman"/>
          <w:sz w:val="13"/>
          <w:szCs w:val="13"/>
          <w:color w:val="auto"/>
        </w:rPr>
        <w:t>We will provide without charge to each person, including any beneficial owner to whom a copy of this prospectus supplement, any related free writing prospectus, or the accompanying prospectus is delivered, upon that person’s written or oral request, a copy of any or all of the information incorporated by reference in this prospectus supplement, any related free writing prospectus, or the accompanying prospectus (other than exhibits to those documents, unless the exhibits are specifically incorporated by reference into those documents). Requests should be directed to:</w:t>
      </w:r>
    </w:p>
    <w:p>
      <w:pPr>
        <w:spacing w:after="0" w:line="4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McCormick &amp; Company, Incorporated</w:t>
      </w:r>
    </w:p>
    <w:p>
      <w:pPr>
        <w:spacing w:after="0" w:line="2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Office of the Treasurer</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 Schilling Road, Suite 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Hunt Valley, Maryland 21031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(410) 771-7301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Investor Relations: (410) 771-7537</w:t>
      </w:r>
    </w:p>
    <w:p>
      <w:pPr>
        <w:spacing w:after="0" w:line="159" w:lineRule="exact"/>
        <w:rPr>
          <w:rFonts w:ascii="Times New Roman" w:cs="Times New Roman" w:eastAsia="Times New Roman" w:hAnsi="Times New Roman"/>
          <w:sz w:val="14"/>
          <w:szCs w:val="14"/>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This prospectus supplement or the accompanying prospectus are part of a registration statement that we have filed with the Commission and do not contain all of the information in the registration statement. You will find additional information about us in the registration statement. Any statement made in this prospectus supplement or the accompanying prospectus concerning a contract, agreement or other document of ours is only a summary and is not necessarily complete, and you should read the documents that are filed as exhibits to the registration statement or otherwise filed with the Commission for a more complete understanding of the document or matter involved. You may obtain copies of the registration statement, including exhibits, as noted in the first paragraph above.</w:t>
      </w:r>
    </w:p>
    <w:p>
      <w:pPr>
        <w:spacing w:after="0" w:line="9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9019"/>
          </w:cols>
          <w:pgMar w:left="1440" w:top="238" w:right="1440" w:bottom="1440" w:gutter="0" w:footer="0" w:header="0"/>
        </w:sectPr>
      </w:pPr>
    </w:p>
    <w:bookmarkStart w:id="36" w:name="page37"/>
    <w:bookmarkEnd w:id="36"/>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134620</wp:posOffset>
            </wp:positionV>
            <wp:extent cx="598170" cy="525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98170"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McCormick &amp; Company, Incorporated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Non-Voting</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170180</wp:posOffset>
            </wp:positionV>
            <wp:extent cx="11430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40" w:right="299"/>
        <w:spacing w:after="0" w:line="257" w:lineRule="auto"/>
        <w:rPr>
          <w:sz w:val="20"/>
          <w:szCs w:val="20"/>
          <w:color w:val="auto"/>
        </w:rPr>
      </w:pPr>
      <w:r>
        <w:rPr>
          <w:rFonts w:ascii="Times New Roman" w:cs="Times New Roman" w:eastAsia="Times New Roman" w:hAnsi="Times New Roman"/>
          <w:sz w:val="14"/>
          <w:szCs w:val="14"/>
          <w:color w:val="auto"/>
        </w:rPr>
        <w:t>We may offer and sell from time to time, together or separately, shares of our common stock, par value $0.01 per share (“Common Stock”), shares of our common stock non-voting, par value $0.01 per share (“Common Stock Non-Voting,” and together with the Common Stock, the “Equity Securities”) or our debt securities described in this prospectus (“Debt Securities,” and together with the Equity Securities, the “Securities”). This prospectus may not be used to sell Securities unless accompanied by a prospectus supplement. The accompanying prospectus supplement will specify the terms of the Securities, including their offering prices and the plan of distribution for any particular offering.</w:t>
      </w:r>
    </w:p>
    <w:p>
      <w:pPr>
        <w:spacing w:after="0" w:line="143" w:lineRule="exact"/>
        <w:rPr>
          <w:sz w:val="20"/>
          <w:szCs w:val="20"/>
          <w:color w:val="auto"/>
        </w:rPr>
      </w:pPr>
    </w:p>
    <w:p>
      <w:pPr>
        <w:ind w:left="240" w:right="359"/>
        <w:spacing w:after="0" w:line="281" w:lineRule="auto"/>
        <w:rPr>
          <w:sz w:val="20"/>
          <w:szCs w:val="20"/>
          <w:color w:val="auto"/>
        </w:rPr>
      </w:pPr>
      <w:r>
        <w:rPr>
          <w:rFonts w:ascii="Times New Roman" w:cs="Times New Roman" w:eastAsia="Times New Roman" w:hAnsi="Times New Roman"/>
          <w:sz w:val="14"/>
          <w:szCs w:val="14"/>
          <w:color w:val="auto"/>
        </w:rPr>
        <w:t>We may sell these Securities to or through one or more agents, underwriters and/or dealers, or directly to purchasers, or through a combination of these methods, on a continuous or delayed basis.</w:t>
      </w:r>
    </w:p>
    <w:p>
      <w:pPr>
        <w:spacing w:after="0" w:line="125" w:lineRule="exact"/>
        <w:rPr>
          <w:sz w:val="20"/>
          <w:szCs w:val="20"/>
          <w:color w:val="auto"/>
        </w:rPr>
      </w:pPr>
    </w:p>
    <w:p>
      <w:pPr>
        <w:jc w:val="both"/>
        <w:ind w:left="240" w:right="299"/>
        <w:spacing w:after="0" w:line="281" w:lineRule="auto"/>
        <w:rPr>
          <w:sz w:val="20"/>
          <w:szCs w:val="20"/>
          <w:color w:val="auto"/>
        </w:rPr>
      </w:pPr>
      <w:r>
        <w:rPr>
          <w:rFonts w:ascii="Times New Roman" w:cs="Times New Roman" w:eastAsia="Times New Roman" w:hAnsi="Times New Roman"/>
          <w:sz w:val="14"/>
          <w:szCs w:val="14"/>
          <w:color w:val="auto"/>
        </w:rPr>
        <w:t>The Common Stock is listed on the New York Stock Exchange (the “NYSE”) under the ticker symbol “MKC-V” and the Common Stock Non-Voting is listed on the NYSE under the ticker symbol “MKC.”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161925</wp:posOffset>
            </wp:positionV>
            <wp:extent cx="11430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88" w:lineRule="exact"/>
        <w:rPr>
          <w:sz w:val="20"/>
          <w:szCs w:val="20"/>
          <w:color w:val="auto"/>
        </w:rPr>
      </w:pPr>
    </w:p>
    <w:p>
      <w:pPr>
        <w:jc w:val="both"/>
        <w:ind w:left="240" w:right="299"/>
        <w:spacing w:after="0" w:line="247" w:lineRule="auto"/>
        <w:rPr>
          <w:sz w:val="20"/>
          <w:szCs w:val="20"/>
          <w:color w:val="auto"/>
        </w:rPr>
      </w:pPr>
      <w:r>
        <w:rPr>
          <w:rFonts w:ascii="Times New Roman" w:cs="Times New Roman" w:eastAsia="Times New Roman" w:hAnsi="Times New Roman"/>
          <w:sz w:val="17"/>
          <w:szCs w:val="17"/>
          <w:b w:val="1"/>
          <w:bCs w:val="1"/>
          <w:color w:val="auto"/>
        </w:rPr>
        <w:t>Investing in any of the Securities involves risks. You should carefully consider the risks described under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5 of this prospectus, as well as the other information contained or incorporated by reference in this prospectus and any prospectus supplement, before making a decision to invest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163830</wp:posOffset>
            </wp:positionV>
            <wp:extent cx="11430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9" w:lineRule="exact"/>
        <w:rPr>
          <w:sz w:val="20"/>
          <w:szCs w:val="20"/>
          <w:color w:val="auto"/>
        </w:rPr>
      </w:pPr>
    </w:p>
    <w:p>
      <w:pPr>
        <w:ind w:left="240" w:right="279"/>
        <w:spacing w:after="0" w:line="28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154305</wp:posOffset>
            </wp:positionV>
            <wp:extent cx="11430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dated April 3, 2023</w:t>
      </w:r>
    </w:p>
    <w:p>
      <w:pPr>
        <w:sectPr>
          <w:pgSz w:w="11900" w:h="16838" w:orient="portrait"/>
          <w:cols w:equalWidth="0" w:num="1">
            <w:col w:w="9019"/>
          </w:cols>
          <w:pgMar w:left="1440" w:top="238" w:right="1440" w:bottom="1440" w:gutter="0" w:footer="0" w:header="0"/>
        </w:sectPr>
      </w:pPr>
    </w:p>
    <w:bookmarkStart w:id="37" w:name="page38"/>
    <w:bookmarkEnd w:id="37"/>
    <w:tbl>
      <w:tblPr>
        <w:tblLayout w:type="fixed"/>
        <w:tblInd w:w="24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8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820" w:type="dxa"/>
            <w:vAlign w:val="bottom"/>
          </w:tcPr>
          <w:p>
            <w:pPr>
              <w:spacing w:after="0"/>
              <w:rPr>
                <w:sz w:val="16"/>
                <w:szCs w:val="16"/>
                <w:color w:val="auto"/>
              </w:rPr>
            </w:pPr>
          </w:p>
        </w:tc>
      </w:tr>
      <w:tr>
        <w:trPr>
          <w:trHeight w:val="251"/>
        </w:trPr>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2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820" w:type="dxa"/>
            <w:vAlign w:val="bottom"/>
          </w:tcPr>
          <w:p>
            <w:pPr>
              <w:spacing w:after="0"/>
              <w:rPr>
                <w:sz w:val="21"/>
                <w:szCs w:val="21"/>
                <w:color w:val="auto"/>
              </w:rPr>
            </w:pPr>
          </w:p>
        </w:tc>
      </w:tr>
      <w:tr>
        <w:trPr>
          <w:trHeight w:val="324"/>
        </w:trPr>
        <w:tc>
          <w:tcPr>
            <w:tcW w:w="668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r>
      <w:tr>
        <w:trPr>
          <w:trHeight w:val="147"/>
        </w:trPr>
        <w:tc>
          <w:tcPr>
            <w:tcW w:w="7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2500" w:type="dxa"/>
            <w:vAlign w:val="bottom"/>
            <w:tcBorders>
              <w:top w:val="single" w:sz="8" w:color="0000EE"/>
            </w:tcBorders>
            <w:gridSpan w:val="8"/>
          </w:tcPr>
          <w:p>
            <w:pPr>
              <w:spacing w:after="0"/>
              <w:rPr>
                <w:sz w:val="12"/>
                <w:szCs w:val="12"/>
                <w:color w:val="auto"/>
              </w:rPr>
            </w:pPr>
          </w:p>
        </w:tc>
        <w:tc>
          <w:tcPr>
            <w:tcW w:w="3480" w:type="dxa"/>
            <w:vAlign w:val="bottom"/>
            <w:gridSpan w:val="3"/>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80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Our Company</w:t>
            </w:r>
          </w:p>
        </w:tc>
        <w:tc>
          <w:tcPr>
            <w:tcW w:w="5880" w:type="dxa"/>
            <w:vAlign w:val="bottom"/>
            <w:gridSpan w:val="9"/>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147"/>
        </w:trPr>
        <w:tc>
          <w:tcPr>
            <w:tcW w:w="66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Description of Equity Securities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Certain Provisions of Maryland Law and Our Charter and By-Laws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r>
        <w:trPr>
          <w:trHeight w:val="147"/>
        </w:trPr>
        <w:tc>
          <w:tcPr>
            <w:tcW w:w="3760" w:type="dxa"/>
            <w:vAlign w:val="bottom"/>
            <w:tcBorders>
              <w:top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2920" w:type="dxa"/>
            <w:vAlign w:val="bottom"/>
            <w:gridSpan w:val="2"/>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r>
      <w:tr>
        <w:trPr>
          <w:trHeight w:val="147"/>
        </w:trPr>
        <w:tc>
          <w:tcPr>
            <w:tcW w:w="1260" w:type="dxa"/>
            <w:vAlign w:val="bottom"/>
            <w:tcBorders>
              <w:top w:val="single" w:sz="8" w:color="0000EE"/>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7"/>
              </w:rPr>
              <w:t>Book-Entry Securities</w:t>
            </w:r>
          </w:p>
        </w:tc>
        <w:tc>
          <w:tcPr>
            <w:tcW w:w="420" w:type="dxa"/>
            <w:vAlign w:val="bottom"/>
            <w:tcBorders>
              <w:top w:val="single" w:sz="8" w:color="0000EE"/>
            </w:tcBorders>
          </w:tcPr>
          <w:p>
            <w:pPr>
              <w:spacing w:after="0"/>
              <w:rPr>
                <w:sz w:val="12"/>
                <w:szCs w:val="12"/>
                <w:color w:val="auto"/>
              </w:rPr>
            </w:pPr>
          </w:p>
        </w:tc>
        <w:tc>
          <w:tcPr>
            <w:tcW w:w="5000" w:type="dxa"/>
            <w:vAlign w:val="bottom"/>
            <w:gridSpan w:val="5"/>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r>
      <w:tr>
        <w:trPr>
          <w:trHeight w:val="147"/>
        </w:trPr>
        <w:tc>
          <w:tcPr>
            <w:tcW w:w="66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7"/>
        </w:trPr>
        <w:tc>
          <w:tcPr>
            <w:tcW w:w="110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580" w:type="dxa"/>
            <w:vAlign w:val="bottom"/>
            <w:gridSpan w:val="7"/>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78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5900" w:type="dxa"/>
            <w:vAlign w:val="bottom"/>
            <w:gridSpan w:val="10"/>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147"/>
        </w:trPr>
        <w:tc>
          <w:tcPr>
            <w:tcW w:w="402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 and Incorporation by Reference</w:t>
            </w:r>
          </w:p>
        </w:tc>
        <w:tc>
          <w:tcPr>
            <w:tcW w:w="2660" w:type="dxa"/>
            <w:vAlign w:val="bottom"/>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bl>
    <w:p>
      <w:pPr>
        <w:jc w:val="right"/>
        <w:spacing w:after="0" w:line="147" w:lineRule="exact"/>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ABOUT THIS PROSPECTUS</w:t>
      </w:r>
    </w:p>
    <w:p>
      <w:pPr>
        <w:spacing w:after="0" w:line="176" w:lineRule="exact"/>
        <w:rPr>
          <w:sz w:val="20"/>
          <w:szCs w:val="20"/>
          <w:color w:val="auto"/>
        </w:rPr>
      </w:pPr>
    </w:p>
    <w:p>
      <w:pPr>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(the “Commission”) utilizing a “shelf” registration process. Under this process, we may offer and sell, at any time and from time to time, any combination of the Securities described in this prospectus in one or more offerings.</w:t>
      </w:r>
    </w:p>
    <w:p>
      <w:pPr>
        <w:spacing w:after="0" w:line="136"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any applicable prospectus supplement and any applicable free writing prospectus which we deliver to you. We have not authorized any other person to provide you with different information. If anyone provides you with different or inconsistent information, you should not rely on it. This prospectus and any applicable prospectus supplement do not constitute an offer to sell or a solicitation of an offer to buy any securities other than the Securities which are referred to in the prospectus supplement or to buy the Securities in any circumstances or in any jurisdictions in which the offer or solicitation is unlawful. You should assume that the information provided by this prospectus, any prospectus supplement, any document incorporated by reference herein or therein or any free writing prospectus that we may authorize or provide is accurate only as of the date of that document. Our business, financial condition, liquidity, results of operations and prospects may have changed since those dates.</w:t>
      </w:r>
    </w:p>
    <w:p>
      <w:pPr>
        <w:spacing w:after="0" w:line="144" w:lineRule="exact"/>
        <w:rPr>
          <w:sz w:val="20"/>
          <w:szCs w:val="20"/>
          <w:color w:val="auto"/>
        </w:rPr>
      </w:pPr>
    </w:p>
    <w:p>
      <w:pPr>
        <w:jc w:val="both"/>
        <w:ind w:left="240" w:right="519" w:firstLine="341"/>
        <w:spacing w:after="0" w:line="265"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do not contain all of the information included in the registration statement. We have omitted parts of the registration statement as permitted by the Commission’s rules and regulations. For further information, we refer you to the information under the heading “Where You Can Find More Information and Incorporation by Reference.”</w:t>
      </w:r>
    </w:p>
    <w:p>
      <w:pPr>
        <w:spacing w:after="0" w:line="136" w:lineRule="exact"/>
        <w:rPr>
          <w:sz w:val="20"/>
          <w:szCs w:val="20"/>
          <w:color w:val="auto"/>
        </w:rPr>
      </w:pPr>
    </w:p>
    <w:p>
      <w:pPr>
        <w:ind w:left="240" w:right="459" w:firstLine="341"/>
        <w:spacing w:after="0" w:line="255"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offer to sell any of the Securities, we will provide a prospectus supplement and/or a free writing prospectus that will contain specific information about the terms of that offering and the Securities being offered. The prospectus supplement may also add, update or change information contained in this prospectus. If there is any inconsistency between the information in this prospectus and a prospectus supplement, the information in the prospectus supplement supersedes the information in this prospectus. You should read both this prospectus and any prospectus supplement or free writing prospectus together with the additional information described under the heading “Where You Can Find More Information and Incorporation by Reference.”</w:t>
      </w:r>
    </w:p>
    <w:p>
      <w:pPr>
        <w:spacing w:after="0" w:line="146" w:lineRule="exact"/>
        <w:rPr>
          <w:sz w:val="20"/>
          <w:szCs w:val="20"/>
          <w:color w:val="auto"/>
        </w:rPr>
      </w:pPr>
    </w:p>
    <w:p>
      <w:pPr>
        <w:ind w:left="240" w:right="479" w:firstLine="341"/>
        <w:spacing w:after="0" w:line="281" w:lineRule="auto"/>
        <w:rPr>
          <w:sz w:val="20"/>
          <w:szCs w:val="20"/>
          <w:color w:val="auto"/>
        </w:rPr>
      </w:pPr>
      <w:r>
        <w:rPr>
          <w:rFonts w:ascii="Times New Roman" w:cs="Times New Roman" w:eastAsia="Times New Roman" w:hAnsi="Times New Roman"/>
          <w:sz w:val="14"/>
          <w:szCs w:val="14"/>
          <w:color w:val="auto"/>
        </w:rPr>
        <w:t>Except as the context otherwise requires, or as otherwise specified or used in this prospectus, when we refer to “McCormick,” “the Company,” “we,” “us” or “our” in this prospectus, we mean McCormick &amp; Company, Incorporated and its subsidiaries.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CAUTIONARY NOTE REGARDING FORWARD-LOOKING STATEMENTS</w:t>
      </w:r>
    </w:p>
    <w:p>
      <w:pPr>
        <w:spacing w:after="0" w:line="176" w:lineRule="exact"/>
        <w:rPr>
          <w:sz w:val="20"/>
          <w:szCs w:val="20"/>
          <w:color w:val="auto"/>
        </w:rPr>
      </w:pPr>
    </w:p>
    <w:p>
      <w:pPr>
        <w:ind w:left="240" w:right="419" w:firstLine="341"/>
        <w:spacing w:after="0" w:line="295" w:lineRule="auto"/>
        <w:rPr>
          <w:sz w:val="20"/>
          <w:szCs w:val="20"/>
          <w:color w:val="auto"/>
        </w:rPr>
      </w:pPr>
      <w:r>
        <w:rPr>
          <w:rFonts w:ascii="Times New Roman" w:cs="Times New Roman" w:eastAsia="Times New Roman" w:hAnsi="Times New Roman"/>
          <w:sz w:val="13"/>
          <w:szCs w:val="13"/>
          <w:color w:val="auto"/>
        </w:rPr>
        <w:t>This prospectus and the information incorporated by reference in it include “forward-looking statements” within the meaning of Section 27A of the Securities Act of 1933, as amended (the “Securities Act”), and Section 21E of the Securities Exchange Act of 1934, as amended (the “Exchange Act”). We intend the forward-looking statements to be covered by the safe harbor provisions for forward-looking statements in these sections.</w:t>
      </w:r>
    </w:p>
    <w:p>
      <w:pPr>
        <w:spacing w:after="0" w:line="118"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our use of forward-looking words such as “may,” “will,” “expect,” “should,” “anticipate,” “intend,” “believe” and “plan” and similar expressions. You should be aware that these statements are based on our views, expectations and assumptions at the time. Actual events or results may differ substantially.</w:t>
      </w:r>
    </w:p>
    <w:p>
      <w:pPr>
        <w:spacing w:after="0" w:line="136" w:lineRule="exact"/>
        <w:rPr>
          <w:sz w:val="20"/>
          <w:szCs w:val="20"/>
          <w:color w:val="auto"/>
        </w:rPr>
      </w:pPr>
    </w:p>
    <w:p>
      <w:pPr>
        <w:ind w:left="240" w:right="299" w:firstLine="341"/>
        <w:spacing w:after="0" w:line="251" w:lineRule="auto"/>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impact of the COVID-19 pandemic on our business, suppliers, consumers, customers, and employees; disruptions or inefficiencies in the supply chain, including any impact of COVID-19; the expected results of operations of businesses acquired by us; the expected impact of the inflationary cost environment, including commodity, packaging materials and transportation costs on our business; the expected impact of pricing actions on our results of operations and gross margins; the impact of price elasticity on our sales volume and mix; the expected impact of factors affecting our supply chain, including transportation capacity, labor shortages, and absenteeism; the expected impact of productivity improvements, including those associated with our Comprehensive Continuous Improvement (“CCI”) program, streamlining actions, including our Global Operating Effectiveness (“GOE”) program and global enablement initiative; the impact of the ongoing conflict between Russia and Ukraine, including the potential for broader economic disruption; expected working capital improvements; expectations regarding growth potential in various geographies and markets, including the impact from customer, channel, category, and e-commerce expansion; expected trends in net sales and earnings performance and other financial measures; the expected timing and costs of implementing our business transformation initiative, which includes the implementation of a global enterprise resource planning system; the expected impact of accounting pronouncements; the expectations of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the payments of interest and repayment of short- and long-term debt, working capital needs, planned capital expenditures, and quarterly dividends; our ability to obtain additional short- and long-term financing or issue additional debt securities; and expectations regarding purchasing shares of our common stock under the existing repurchase authorization.</w:t>
      </w:r>
    </w:p>
    <w:p>
      <w:pPr>
        <w:spacing w:after="0" w:line="152" w:lineRule="exact"/>
        <w:rPr>
          <w:sz w:val="20"/>
          <w:szCs w:val="20"/>
          <w:color w:val="auto"/>
        </w:rPr>
      </w:pPr>
    </w:p>
    <w:p>
      <w:pPr>
        <w:ind w:left="240" w:right="439" w:firstLine="341"/>
        <w:spacing w:after="0" w:line="281" w:lineRule="auto"/>
        <w:rPr>
          <w:sz w:val="20"/>
          <w:szCs w:val="20"/>
          <w:color w:val="auto"/>
        </w:rPr>
      </w:pPr>
      <w:r>
        <w:rPr>
          <w:rFonts w:ascii="Times New Roman" w:cs="Times New Roman" w:eastAsia="Times New Roman" w:hAnsi="Times New Roman"/>
          <w:sz w:val="14"/>
          <w:szCs w:val="14"/>
          <w:color w:val="auto"/>
        </w:rPr>
        <w:t>These and other forward-looking statements are based on management’s current views and assumptions and involve risks and uncertainties that could significantly affect expected results. Results may be materially affected by factors such as:</w:t>
      </w:r>
    </w:p>
    <w:p>
      <w:pPr>
        <w:spacing w:after="0" w:line="52" w:lineRule="exact"/>
        <w:rPr>
          <w:sz w:val="20"/>
          <w:szCs w:val="20"/>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revenue growth;</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pricing to offset, or partially offset, inflationary pressures on the cost of our products;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or brand name;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brand relevance;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private label use;</w:t>
      </w:r>
    </w:p>
    <w:p>
      <w:pPr>
        <w:spacing w:after="0" w:line="100" w:lineRule="exact"/>
        <w:rPr>
          <w:rFonts w:ascii="Times New Roman" w:cs="Times New Roman" w:eastAsia="Times New Roman" w:hAnsi="Times New Roman"/>
          <w:sz w:val="14"/>
          <w:szCs w:val="14"/>
          <w:color w:val="auto"/>
        </w:rPr>
      </w:pPr>
    </w:p>
    <w:p>
      <w:pPr>
        <w:ind w:left="980" w:right="419" w:hanging="327"/>
        <w:spacing w:after="0" w:line="281" w:lineRule="auto"/>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productivity improvements, including those related to our CCI program and streamlining actions, including our GOE program;</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quality, labeling, or safety concerns;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about our products;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40" w:name="page41"/>
    <w:bookmarkEnd w:id="40"/>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actions by, and the financial condition of, competitors and customers;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longevity of mutually beneficial relationships with our large customers;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interpret and react to changes in consumer preference and demand;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due to natural disasters, unexpected events or public health crises, including COVID-19;</w:t>
      </w:r>
    </w:p>
    <w:p>
      <w:pPr>
        <w:spacing w:after="0" w:line="100"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affecting our supply chain and procurement of raw materials, including fluctuations in the cost and availability of raw and packaging materials;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shortage, turnover and labor cost increases;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conflict between Russia and Ukraine, including the potential for broader economic disruption;</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and changes in legal and regulatory requirements and enforcement practices;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successful acquisition and integration of new businesses;</w:t>
      </w:r>
    </w:p>
    <w:p>
      <w:pPr>
        <w:spacing w:after="0" w:line="100" w:lineRule="exact"/>
        <w:rPr>
          <w:rFonts w:ascii="Times New Roman" w:cs="Times New Roman" w:eastAsia="Times New Roman" w:hAnsi="Times New Roman"/>
          <w:sz w:val="14"/>
          <w:szCs w:val="14"/>
          <w:color w:val="auto"/>
        </w:rPr>
      </w:pPr>
    </w:p>
    <w:p>
      <w:pPr>
        <w:ind w:left="980" w:right="659" w:hanging="327"/>
        <w:spacing w:after="0" w:line="281"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and financial conditions generally, including stability of financial institutions, availability of financing, interest and inflation rates, and the imposition of tariffs, quotas, trade barriers and other similar restrictions;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w:t>
      </w:r>
    </w:p>
    <w:p>
      <w:pPr>
        <w:spacing w:after="0" w:line="100" w:lineRule="exact"/>
        <w:rPr>
          <w:rFonts w:ascii="Times New Roman" w:cs="Times New Roman" w:eastAsia="Times New Roman" w:hAnsi="Times New Roman"/>
          <w:sz w:val="14"/>
          <w:szCs w:val="14"/>
          <w:color w:val="auto"/>
        </w:rPr>
      </w:pPr>
    </w:p>
    <w:p>
      <w:pPr>
        <w:ind w:left="980" w:right="419" w:hanging="327"/>
        <w:spacing w:after="0" w:line="224"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level of debt service following the acquisitions of the parent company of Cholula Hot Sauce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FONA International, LLC and certain of its affiliates as well as the effects that such increased debt service may have on our ability to borrow or the cost of any such additional borrowing, our credit rating, and our ability to react to certain economic and industry conditions;</w:t>
      </w:r>
    </w:p>
    <w:p>
      <w:pPr>
        <w:spacing w:after="0" w:line="81"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phase-out of LIBOR;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of indefinite-lived intangible assets;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we have made regarding the investment return on retirement plan assets, and the costs associated with pension obligations;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stability of credit and capital markets;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our information technology systems, including the threat of data breaches and cyber-attacks;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implement our business transformation initiative;</w:t>
      </w:r>
    </w:p>
    <w:p>
      <w:pPr>
        <w:spacing w:after="0" w:line="100"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fundamental changes in tax laws, including interpretations and assumptions we have made, and guidance that may be issued, and volatility in our effective tax rate;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social and governance matters;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of intellectual property rights, and those of customers;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legal and administrative proceedings;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expected and/or needed cost savings or margin improvements;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employee relations; and</w:t>
      </w:r>
    </w:p>
    <w:p>
      <w:pPr>
        <w:spacing w:after="0" w:line="100" w:lineRule="exact"/>
        <w:rPr>
          <w:rFonts w:ascii="Times New Roman" w:cs="Times New Roman" w:eastAsia="Times New Roman" w:hAnsi="Times New Roman"/>
          <w:sz w:val="14"/>
          <w:szCs w:val="14"/>
          <w:color w:val="auto"/>
        </w:rPr>
      </w:pPr>
    </w:p>
    <w:p>
      <w:pPr>
        <w:ind w:left="980" w:right="539" w:hanging="327"/>
        <w:spacing w:after="0" w:line="281"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this prospectus or any prospectus supplement and the documents incorporated by reference herein or therein under the caption “Risk Factors.”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1" w:name="page42"/>
    <w:bookmarkEnd w:id="41"/>
    <w:p>
      <w:pPr>
        <w:ind w:left="240" w:right="299" w:firstLine="341"/>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We caution you that any forward-looking statements made by us are not guarantees of future performance. You should keep in mind that any forward-looking statement we make in this prospectus, any prospectus supplement, any free-writing prospectus or the documents incorporated by reference herein or therein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a prospectus supplement and the documents incorporated by reference therein, may cause actual results to differ materially from those indicated by our forward-looking statements. These factors should not be construed as exhaustive and should be read in conjunction with the other cautionary statements that are included or incorporated by reference in this prospectus and any applicable prospectus supplement. We have no duty, and do not intend, to update or revise the forward-looking statements we make in this prospectus, any prospectus supplement or the documents incorporated by reference herein or therein, except as may be required by law. In light of these risks and uncertainties, you should keep in mind that the future events or circumstances described in any forward-looking statement we make in this prospectus, any prospectus supplement or the documents incorporated by reference herein or therein might not occur.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RISK FACTORS</w:t>
      </w:r>
    </w:p>
    <w:p>
      <w:pPr>
        <w:spacing w:after="0" w:line="176" w:lineRule="exact"/>
        <w:rPr>
          <w:sz w:val="20"/>
          <w:szCs w:val="20"/>
          <w:color w:val="auto"/>
        </w:rPr>
      </w:pPr>
    </w:p>
    <w:p>
      <w:pPr>
        <w:ind w:left="240" w:right="299" w:firstLine="341"/>
        <w:spacing w:after="0" w:line="276" w:lineRule="auto"/>
        <w:rPr>
          <w:sz w:val="20"/>
          <w:szCs w:val="20"/>
          <w:color w:val="auto"/>
        </w:rPr>
      </w:pPr>
      <w:r>
        <w:rPr>
          <w:rFonts w:ascii="Times New Roman" w:cs="Times New Roman" w:eastAsia="Times New Roman" w:hAnsi="Times New Roman"/>
          <w:sz w:val="13"/>
          <w:szCs w:val="13"/>
          <w:color w:val="auto"/>
        </w:rPr>
        <w:t>An investment in the Securities involves risks. We urge you to carefully consider the risks identified in documents incorporated by reference in this prospectus and, if applicable, in any accompanying prospectus supplement used in connection with an offering of the Securities, before making an investment decision, including those risks identified under “Risk Factors” in our Annual Report on Form 10-K for the year ended November 30, 2022 and in our Quarterly Report on Form 10-Q for the quarter ended February 28, 2023, which are incorporated by reference in this prospectus and which may be amended, supplemented or superseded from time to time by other reports we file with the Commission in the future. Additional risks, including those that relate to any particular Securities we offer, may be included in the applicable prospectus supplement, any document incorporated by reference into this prospectus or such prospectus supplement or any free writing prospectus that we may authorize or provide to you. For a description of these documents, and information about where you can find them, see “Where You Can Find More Information and Incorporation by Reference.”</w:t>
      </w:r>
    </w:p>
    <w:p>
      <w:pPr>
        <w:spacing w:after="0" w:line="132" w:lineRule="exact"/>
        <w:rPr>
          <w:sz w:val="20"/>
          <w:szCs w:val="20"/>
          <w:color w:val="auto"/>
        </w:rPr>
      </w:pPr>
    </w:p>
    <w:p>
      <w:pPr>
        <w:ind w:left="240" w:right="339" w:firstLine="341"/>
        <w:spacing w:after="0" w:line="281" w:lineRule="auto"/>
        <w:rPr>
          <w:sz w:val="20"/>
          <w:szCs w:val="20"/>
          <w:color w:val="auto"/>
        </w:rPr>
      </w:pPr>
      <w:r>
        <w:rPr>
          <w:rFonts w:ascii="Times New Roman" w:cs="Times New Roman" w:eastAsia="Times New Roman" w:hAnsi="Times New Roman"/>
          <w:sz w:val="14"/>
          <w:szCs w:val="14"/>
          <w:color w:val="auto"/>
        </w:rPr>
        <w:t>Our business, financial condition, results of operations and cash flows could be materially adversely affected by any of these risks. The market or trading prices of the Securities could decline due to any of these risks.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OUR COMPANY</w:t>
      </w:r>
    </w:p>
    <w:p>
      <w:pPr>
        <w:spacing w:after="0" w:line="176" w:lineRule="exact"/>
        <w:rPr>
          <w:sz w:val="20"/>
          <w:szCs w:val="20"/>
          <w:color w:val="auto"/>
        </w:rPr>
      </w:pPr>
    </w:p>
    <w:p>
      <w:pPr>
        <w:ind w:left="240" w:right="239" w:firstLine="341"/>
        <w:spacing w:after="0" w:line="260" w:lineRule="auto"/>
        <w:rPr>
          <w:sz w:val="20"/>
          <w:szCs w:val="20"/>
          <w:color w:val="auto"/>
        </w:rPr>
      </w:pPr>
      <w:r>
        <w:rPr>
          <w:rFonts w:ascii="Times New Roman" w:cs="Times New Roman" w:eastAsia="Times New Roman" w:hAnsi="Times New Roman"/>
          <w:sz w:val="14"/>
          <w:szCs w:val="14"/>
          <w:color w:val="auto"/>
        </w:rPr>
        <w:t>We are a global leader in flavor. We manufacture, market and distribute spices, seasoning mixes, condiments and other flavorful products to the entire food industry – retailers, food manufacturers and the foodservice business. In fiscal year 2022, approximately 38% of our sales were outside of the U.S. We also are partners in a number of joint ventures that are involved in the manufacture and sale of flavorful products, the most significant of which is McCormick de Mexico.</w:t>
      </w:r>
    </w:p>
    <w:p>
      <w:pPr>
        <w:spacing w:after="0" w:line="140" w:lineRule="exact"/>
        <w:rPr>
          <w:sz w:val="20"/>
          <w:szCs w:val="20"/>
          <w:color w:val="auto"/>
        </w:rPr>
      </w:pPr>
    </w:p>
    <w:p>
      <w:pPr>
        <w:ind w:left="240" w:right="339" w:firstLine="341"/>
        <w:spacing w:after="0" w:line="257" w:lineRule="auto"/>
        <w:rPr>
          <w:sz w:val="20"/>
          <w:szCs w:val="20"/>
          <w:color w:val="auto"/>
        </w:rPr>
      </w:pPr>
      <w:r>
        <w:rPr>
          <w:rFonts w:ascii="Times New Roman" w:cs="Times New Roman" w:eastAsia="Times New Roman" w:hAnsi="Times New Roman"/>
          <w:sz w:val="14"/>
          <w:szCs w:val="14"/>
          <w:color w:val="auto"/>
        </w:rPr>
        <w:t>We operate in two business segments: consumer and flavor solutions. The consumer and flavor solutions segments manufacture, market and distribute spices, herbs, seasoning mixes, condiments and other flavorful products throughout the world. Our consumer segment sells to retail channels, including grocery, mass merchandise, warehouse clubs, discount and drug stores, and e-commerce under the “McCormick” brand and a variety of brands around the world, including “French’s”, “Frank’s RedHot”, “OLD BAY”, “Lawry’s”, “Zatarain’s”, “Simply Asia”, “Thai Kitchen”, “Ducros”, “Vahine”, “Cholula”, “Schwartz”, “Club House”, “Kamis”, “DaQiao”, “La Drogheria”, “Stubb’s”, and “Gourmet Garden.”</w:t>
      </w:r>
    </w:p>
    <w:p>
      <w:pPr>
        <w:spacing w:after="0" w:line="143" w:lineRule="exact"/>
        <w:rPr>
          <w:sz w:val="20"/>
          <w:szCs w:val="20"/>
          <w:color w:val="auto"/>
        </w:rPr>
      </w:pPr>
    </w:p>
    <w:p>
      <w:pPr>
        <w:ind w:left="240" w:right="359" w:firstLine="341"/>
        <w:spacing w:after="0" w:line="281" w:lineRule="auto"/>
        <w:rPr>
          <w:sz w:val="20"/>
          <w:szCs w:val="20"/>
          <w:color w:val="auto"/>
        </w:rPr>
      </w:pPr>
      <w:r>
        <w:rPr>
          <w:rFonts w:ascii="Times New Roman" w:cs="Times New Roman" w:eastAsia="Times New Roman" w:hAnsi="Times New Roman"/>
          <w:sz w:val="14"/>
          <w:szCs w:val="14"/>
          <w:color w:val="auto"/>
        </w:rPr>
        <w:t>McCormick &amp; Company, Incorporated was formed in 1915 under Maryland law as the successor to a business established in 1889. Our principal executive offices are located at 24 Schilling Road, Suite 1, Hunt Valley, Maryland 21031 (telephone: (410) 771-7301).</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USE OF PROCEEDS</w:t>
      </w:r>
    </w:p>
    <w:p>
      <w:pPr>
        <w:spacing w:after="0" w:line="176" w:lineRule="exact"/>
        <w:rPr>
          <w:sz w:val="20"/>
          <w:szCs w:val="20"/>
          <w:color w:val="auto"/>
        </w:rPr>
      </w:pPr>
    </w:p>
    <w:p>
      <w:pPr>
        <w:jc w:val="both"/>
        <w:ind w:left="240" w:right="479" w:firstLine="341"/>
        <w:spacing w:after="0" w:line="265" w:lineRule="auto"/>
        <w:rPr>
          <w:sz w:val="20"/>
          <w:szCs w:val="20"/>
          <w:color w:val="auto"/>
        </w:rPr>
      </w:pPr>
      <w:r>
        <w:rPr>
          <w:rFonts w:ascii="Times New Roman" w:cs="Times New Roman" w:eastAsia="Times New Roman" w:hAnsi="Times New Roman"/>
          <w:sz w:val="14"/>
          <w:szCs w:val="14"/>
          <w:color w:val="auto"/>
        </w:rPr>
        <w:t>Except as may be described otherwise in a prospectus supplement, we expect to use the net proceeds from the sale of the Securities under this prospectus for general corporate purposes, including refinancing existing indebtedness, future acquisitions, capital expenditures and working capital. Until we apply the net proceeds for specific purposes, we may invest such net proceeds in short-term or marketable securities.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EQUITY SECURITIES</w:t>
      </w:r>
    </w:p>
    <w:p>
      <w:pPr>
        <w:spacing w:after="0" w:line="176"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The description below summarizes the general terms of the Equity Securities to which any prospectus supplement may relate. This section is a summary, and it does not describe every aspect of the Equity Securities. This summary is subject to and qualified in its entirety by reference to the provisions of our Charter, as amended and restated (the “Charter”), and our Amended and Restated By-Laws (the “By-Laws”), each as may be amended from time to time. See “Where You Can Find More Information and Incorporation by Reference.”</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We have two classes of common stock authorized, consisting of 640,000,000 shares of Common Stock, and 640,000,000 shares of Common Stock Non-Voting.</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Voting Rights and Special Conversion and Redemption Rights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Holders of Common Stock have full voting rights, except that:</w:t>
      </w:r>
    </w:p>
    <w:p>
      <w:pPr>
        <w:spacing w:after="0" w:line="101" w:lineRule="exact"/>
        <w:rPr>
          <w:sz w:val="20"/>
          <w:szCs w:val="20"/>
          <w:color w:val="auto"/>
        </w:rPr>
      </w:pPr>
    </w:p>
    <w:p>
      <w:pPr>
        <w:ind w:left="980" w:right="539" w:hanging="327"/>
        <w:spacing w:after="0" w:line="265"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of persons who are deemed by the board of directors to own, directly or indirectly, beneficially 10% or more of the outstanding shares of Common Stock (a “Substantial Stockholder”) are limited to 10% of the votes entitled to be cast by all holders of shares of Common Stock regardless of how many shares in excess of 10% are held by such person;</w:t>
      </w:r>
    </w:p>
    <w:p>
      <w:pPr>
        <w:spacing w:after="0" w:line="63" w:lineRule="exact"/>
        <w:rPr>
          <w:rFonts w:ascii="Times New Roman" w:cs="Times New Roman" w:eastAsia="Times New Roman" w:hAnsi="Times New Roman"/>
          <w:sz w:val="14"/>
          <w:szCs w:val="14"/>
          <w:color w:val="auto"/>
        </w:rPr>
      </w:pPr>
    </w:p>
    <w:p>
      <w:pPr>
        <w:ind w:left="980" w:right="259" w:hanging="327"/>
        <w:spacing w:after="0" w:line="321" w:lineRule="auto"/>
        <w:tabs>
          <w:tab w:leader="none" w:pos="9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the right to redeem, at any time, any or all shares of Common Stock and Common Stock Non-Voting beneficially owned by any Substantial Stockholder, unless such person acquires more than 90% of the then outstanding shares of each class of our common stock; and</w:t>
      </w:r>
    </w:p>
    <w:p>
      <w:pPr>
        <w:spacing w:after="0" w:line="29" w:lineRule="exact"/>
        <w:rPr>
          <w:rFonts w:ascii="Times New Roman" w:cs="Times New Roman" w:eastAsia="Times New Roman" w:hAnsi="Times New Roman"/>
          <w:sz w:val="13"/>
          <w:szCs w:val="13"/>
          <w:color w:val="auto"/>
        </w:rPr>
      </w:pPr>
    </w:p>
    <w:p>
      <w:pPr>
        <w:ind w:left="980" w:right="259" w:hanging="327"/>
        <w:spacing w:after="0" w:line="260"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such time as a Substantial Stockholder beneficially owns shares of Common Stock which entitle such Substantial Stockholder to cast more than 50% of the votes entitled to be cast by the holders of outstanding shares of Common Stock (taking into account the vote limitation on Substantial Stockholders described above), automatically, on a share-for-share basis, all shares of Common Stock Non-Voting will convert into shares of Common Stock.</w:t>
      </w:r>
    </w:p>
    <w:p>
      <w:pPr>
        <w:spacing w:after="0" w:line="140"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Any amendment, alteration, change or repeal of the foregoing provisions, in addition to any other vote or approval required under the Charter or applicable law, requires:</w:t>
      </w:r>
    </w:p>
    <w:p>
      <w:pPr>
        <w:spacing w:after="0" w:line="52" w:lineRule="exact"/>
        <w:rPr>
          <w:sz w:val="20"/>
          <w:szCs w:val="20"/>
          <w:color w:val="auto"/>
        </w:rPr>
      </w:pPr>
    </w:p>
    <w:p>
      <w:pPr>
        <w:ind w:left="980" w:right="879" w:hanging="327"/>
        <w:spacing w:after="0" w:line="281"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at least 80% of the total number of votes entitled to be cast by the holders of all of the then outstanding shares of Common Stock, voting as a single class, and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at least 80% of the then outstanding shares of Common Stock Non-Voting, voting as a separate class.</w:t>
      </w:r>
    </w:p>
    <w:p>
      <w:pPr>
        <w:spacing w:after="0" w:line="174"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Except as set forth above, holders of Common Stock are entitled to one vote per share of Common Stock on all matters to be voted upon by the stockholders. Any shares beneficially owned by a Substantial Stockholder in excess of 10% of outstanding shares of Common Stock that are subject to the Substantial Stockholder vote limitation described above are excluded from the total number of shares of Common Stock outstanding for the purposes of (i) establishing a quorum and (ii) determining the proportion of Common Stock required to approve a matter.</w:t>
      </w:r>
    </w:p>
    <w:p>
      <w:pPr>
        <w:spacing w:after="0" w:line="140" w:lineRule="exact"/>
        <w:rPr>
          <w:sz w:val="20"/>
          <w:szCs w:val="20"/>
          <w:color w:val="auto"/>
        </w:rPr>
      </w:pPr>
    </w:p>
    <w:p>
      <w:pPr>
        <w:ind w:left="240" w:right="359" w:firstLine="341"/>
        <w:spacing w:after="0" w:line="281" w:lineRule="auto"/>
        <w:rPr>
          <w:sz w:val="20"/>
          <w:szCs w:val="20"/>
          <w:color w:val="auto"/>
        </w:rPr>
      </w:pPr>
      <w:r>
        <w:rPr>
          <w:rFonts w:ascii="Times New Roman" w:cs="Times New Roman" w:eastAsia="Times New Roman" w:hAnsi="Times New Roman"/>
          <w:sz w:val="14"/>
          <w:szCs w:val="14"/>
          <w:color w:val="auto"/>
        </w:rPr>
        <w:t>Each share of Common Stock Non-Voting has exactly the same rights, terms and conditions as each share of Common Stock, except that holders of shares of Common Stock Non-Voting have no voting rights, except with respect to:</w:t>
      </w:r>
    </w:p>
    <w:p>
      <w:pPr>
        <w:spacing w:after="0" w:line="52" w:lineRule="exact"/>
        <w:rPr>
          <w:sz w:val="20"/>
          <w:szCs w:val="20"/>
          <w:color w:val="auto"/>
        </w:rPr>
      </w:pPr>
    </w:p>
    <w:p>
      <w:pPr>
        <w:ind w:left="980" w:hanging="327"/>
        <w:spacing w:after="0"/>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consolidation of the Company with another corporation;</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of the Company into another corporation;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8" w:right="1440" w:bottom="1440" w:gutter="0" w:footer="0" w:header="0"/>
        </w:sectPr>
      </w:pPr>
    </w:p>
    <w:bookmarkStart w:id="46" w:name="page47"/>
    <w:bookmarkEnd w:id="46"/>
    <w:p>
      <w:pPr>
        <w:ind w:left="980" w:right="499" w:hanging="327"/>
        <w:spacing w:after="0" w:line="281"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merger of the Company where the Company is the surviving corporation but the capital stock of the Company is converted into other securities or property;</w:t>
      </w:r>
    </w:p>
    <w:p>
      <w:pPr>
        <w:spacing w:after="0" w:line="52" w:lineRule="exact"/>
        <w:rPr>
          <w:rFonts w:ascii="Times New Roman" w:cs="Times New Roman" w:eastAsia="Times New Roman" w:hAnsi="Times New Roman"/>
          <w:sz w:val="14"/>
          <w:szCs w:val="14"/>
          <w:color w:val="auto"/>
        </w:rPr>
      </w:pPr>
    </w:p>
    <w:p>
      <w:pPr>
        <w:ind w:left="980" w:right="379" w:hanging="327"/>
        <w:spacing w:after="0" w:line="281"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participation by the Company in a statutory share exchange whereby the capital stock of the Company is converted into other securities or property;</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dissolution of the Company;</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 of all or substantially all of the assets of the Company not in the ordinary course of business;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of the Charter repealing the right of the Common Stock Non-Voting to vote on any of the foregoing matters.</w:t>
      </w:r>
    </w:p>
    <w:p>
      <w:pPr>
        <w:spacing w:after="0" w:line="174"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On matters on which holders of Common Stock Non-Voting are entitled to vote, holders of Common Stock Non-Voting are entitled to one vote per share of Common Stock Non-Voting on all such matters. As to any matter on which holders of Common Stock Non-Voting and Common Stock are entitled to vote, the Common Stock Non-Voting shall vote separately as one class, and the Common Stock shall vote separately as another class.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voting rights of holders of Common Stock Non-Voting cannot be repealed except by:</w:t>
      </w:r>
    </w:p>
    <w:p>
      <w:pPr>
        <w:spacing w:after="0" w:line="101" w:lineRule="exact"/>
        <w:rPr>
          <w:sz w:val="20"/>
          <w:szCs w:val="20"/>
          <w:color w:val="auto"/>
        </w:rPr>
      </w:pPr>
    </w:p>
    <w:p>
      <w:pPr>
        <w:ind w:left="980" w:right="579" w:hanging="327"/>
        <w:spacing w:after="0" w:line="281"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 majority of the outstanding shares of the Common Stock Non-Voting, voting separately as one class, and</w:t>
      </w:r>
    </w:p>
    <w:p>
      <w:pPr>
        <w:spacing w:after="0" w:line="52" w:lineRule="exact"/>
        <w:rPr>
          <w:rFonts w:ascii="Times New Roman" w:cs="Times New Roman" w:eastAsia="Times New Roman" w:hAnsi="Times New Roman"/>
          <w:sz w:val="14"/>
          <w:szCs w:val="14"/>
          <w:color w:val="auto"/>
        </w:rPr>
      </w:pPr>
    </w:p>
    <w:p>
      <w:pPr>
        <w:jc w:val="both"/>
        <w:ind w:left="980" w:right="359" w:hanging="327"/>
        <w:spacing w:after="0" w:line="265"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 majority of the total number of votes entitled to be cast by the holders of all the outstanding shares of the Common Stock (taking into account the vote limitation on Substantial Stockholders described above), voting separately as another class.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Amendments to Terms</w:t>
      </w:r>
    </w:p>
    <w:p>
      <w:pPr>
        <w:spacing w:after="0" w:line="92" w:lineRule="exact"/>
        <w:rPr>
          <w:sz w:val="20"/>
          <w:szCs w:val="20"/>
          <w:color w:val="auto"/>
        </w:rPr>
      </w:pPr>
    </w:p>
    <w:p>
      <w:pPr>
        <w:ind w:left="240" w:right="339" w:firstLine="341"/>
        <w:spacing w:after="0" w:line="281" w:lineRule="auto"/>
        <w:rPr>
          <w:sz w:val="20"/>
          <w:szCs w:val="20"/>
          <w:color w:val="auto"/>
        </w:rPr>
      </w:pPr>
      <w:r>
        <w:rPr>
          <w:rFonts w:ascii="Times New Roman" w:cs="Times New Roman" w:eastAsia="Times New Roman" w:hAnsi="Times New Roman"/>
          <w:sz w:val="14"/>
          <w:szCs w:val="14"/>
          <w:color w:val="auto"/>
        </w:rPr>
        <w:t>The provisions of the Charter providing that the Common Stock and the Common Stock Non-Voting vote as separate classes cannot be amended, altered, changed or repealed except by:</w:t>
      </w:r>
    </w:p>
    <w:p>
      <w:pPr>
        <w:spacing w:after="0" w:line="52" w:lineRule="exact"/>
        <w:rPr>
          <w:sz w:val="20"/>
          <w:szCs w:val="20"/>
          <w:color w:val="auto"/>
        </w:rPr>
      </w:pPr>
    </w:p>
    <w:p>
      <w:pPr>
        <w:ind w:left="980" w:right="359" w:hanging="327"/>
        <w:spacing w:after="0" w:line="265"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at least 80% of the total number of votes entitled to be cast by the holders of all the then outstanding shares of Common Stock (taking into account the vote limitation on Substantial Stockholders described above), voting separately as one class, and</w:t>
      </w:r>
    </w:p>
    <w:p>
      <w:pPr>
        <w:spacing w:after="0" w:line="63" w:lineRule="exact"/>
        <w:rPr>
          <w:rFonts w:ascii="Times New Roman" w:cs="Times New Roman" w:eastAsia="Times New Roman" w:hAnsi="Times New Roman"/>
          <w:sz w:val="14"/>
          <w:szCs w:val="14"/>
          <w:color w:val="auto"/>
        </w:rPr>
      </w:pPr>
    </w:p>
    <w:p>
      <w:pPr>
        <w:ind w:left="980" w:right="639" w:hanging="327"/>
        <w:spacing w:after="0" w:line="281"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at least 80% of the then outstanding shares of Common Stock Non-Voting, voting separately as another class.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 Other Conversion or Preemption Rights</w:t>
      </w:r>
    </w:p>
    <w:p>
      <w:pPr>
        <w:spacing w:after="0" w:line="92" w:lineRule="exact"/>
        <w:rPr>
          <w:sz w:val="20"/>
          <w:szCs w:val="20"/>
          <w:color w:val="auto"/>
        </w:rPr>
      </w:pPr>
    </w:p>
    <w:p>
      <w:pPr>
        <w:ind w:left="240" w:right="299" w:firstLine="341"/>
        <w:spacing w:after="0" w:line="321" w:lineRule="auto"/>
        <w:rPr>
          <w:sz w:val="20"/>
          <w:szCs w:val="20"/>
          <w:color w:val="auto"/>
        </w:rPr>
      </w:pPr>
      <w:r>
        <w:rPr>
          <w:rFonts w:ascii="Times New Roman" w:cs="Times New Roman" w:eastAsia="Times New Roman" w:hAnsi="Times New Roman"/>
          <w:sz w:val="13"/>
          <w:szCs w:val="13"/>
          <w:color w:val="auto"/>
        </w:rPr>
        <w:t>Except as set forth above, holders of the Equity Securities, solely by virtue of their holdings, do not have conversion rights or preemptive rights to subscribe for or purchase any shares of any class, or to any security convertible into shares of stock of the Company, which we may issue in the future.</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Exchange Rights</w:t>
      </w:r>
    </w:p>
    <w:p>
      <w:pPr>
        <w:spacing w:after="0" w:line="92"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The Company may, but is not obligated to, allow shareholders to exchange shares of Common Stock for shares of Common Stock Non-Voting on a one-for-one basis. However, we generally do not issue shares of Common Stock in exchange for shares of Common Stock Non-Voting. In certain circumstances, we issue shares of Common Stock in exchange for shares of Common Stock Non-Voting, or issue shares of Common Stock Non-Voting in exchange for shares of Common Stock, typically, in connection with the administration of our employee benefit plans, executive compensation programs and dividend reinvestment/direct purchase plans. Holders who choose to exchange their shares will not receive any consideration for such exchanges, other than shares of Common Stock Non-Voting or Common Stock, as applicable.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47" w:name="page48"/>
    <w:bookmarkEnd w:id="47"/>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Dividends</w:t>
      </w:r>
    </w:p>
    <w:p>
      <w:pPr>
        <w:spacing w:after="0" w:line="92" w:lineRule="exact"/>
        <w:rPr>
          <w:sz w:val="20"/>
          <w:szCs w:val="20"/>
          <w:color w:val="auto"/>
        </w:rPr>
      </w:pPr>
    </w:p>
    <w:p>
      <w:pPr>
        <w:ind w:left="240" w:right="379" w:firstLine="341"/>
        <w:spacing w:after="0" w:line="281" w:lineRule="auto"/>
        <w:rPr>
          <w:sz w:val="20"/>
          <w:szCs w:val="20"/>
          <w:color w:val="auto"/>
        </w:rPr>
      </w:pPr>
      <w:r>
        <w:rPr>
          <w:rFonts w:ascii="Times New Roman" w:cs="Times New Roman" w:eastAsia="Times New Roman" w:hAnsi="Times New Roman"/>
          <w:sz w:val="14"/>
          <w:szCs w:val="14"/>
          <w:color w:val="auto"/>
        </w:rPr>
        <w:t>Both classes of our common stock are entitled to dividends that may be declared by the board of directors from time to time out of the surplus or profits of the Company, after providing for dividends on preferred stock.</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Right to Receive Liquidation Distributions</w:t>
      </w:r>
    </w:p>
    <w:p>
      <w:pPr>
        <w:spacing w:after="0" w:line="92" w:lineRule="exact"/>
        <w:rPr>
          <w:sz w:val="20"/>
          <w:szCs w:val="20"/>
          <w:color w:val="auto"/>
        </w:rPr>
      </w:pPr>
    </w:p>
    <w:p>
      <w:pPr>
        <w:ind w:left="240" w:right="599" w:firstLine="341"/>
        <w:spacing w:after="0" w:line="281" w:lineRule="auto"/>
        <w:rPr>
          <w:sz w:val="20"/>
          <w:szCs w:val="20"/>
          <w:color w:val="auto"/>
        </w:rPr>
      </w:pPr>
      <w:r>
        <w:rPr>
          <w:rFonts w:ascii="Times New Roman" w:cs="Times New Roman" w:eastAsia="Times New Roman" w:hAnsi="Times New Roman"/>
          <w:sz w:val="14"/>
          <w:szCs w:val="14"/>
          <w:color w:val="auto"/>
        </w:rPr>
        <w:t>The Maryland General Corporation Law (the “MGCL”) provides that our stockholders are generally not obligated to us or our creditors with respect to our stock, except to the extent that the subscription price or other agreed upon consideration has not been paid.</w:t>
      </w:r>
    </w:p>
    <w:p>
      <w:pPr>
        <w:spacing w:after="0" w:line="125" w:lineRule="exact"/>
        <w:rPr>
          <w:sz w:val="20"/>
          <w:szCs w:val="20"/>
          <w:color w:val="auto"/>
        </w:rPr>
      </w:pPr>
    </w:p>
    <w:p>
      <w:pPr>
        <w:jc w:val="both"/>
        <w:ind w:left="240" w:right="419" w:firstLine="341"/>
        <w:spacing w:after="0" w:line="265" w:lineRule="auto"/>
        <w:rPr>
          <w:sz w:val="20"/>
          <w:szCs w:val="20"/>
          <w:color w:val="auto"/>
        </w:rPr>
      </w:pPr>
      <w:r>
        <w:rPr>
          <w:rFonts w:ascii="Times New Roman" w:cs="Times New Roman" w:eastAsia="Times New Roman" w:hAnsi="Times New Roman"/>
          <w:sz w:val="14"/>
          <w:szCs w:val="14"/>
          <w:color w:val="auto"/>
        </w:rPr>
        <w:t>Upon any liquidation, dissolution or winding up of the Company, the holders of both classes of stock shall be entitled to receive, share for share with the other holders of shares of Common Stock and Common Stock Non-Voting on a pro rata basis, all assets then legally available for distribution after payment of debts and liabilities and preferences on preferred stock outstanding, if any.</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2" w:lineRule="exact"/>
        <w:rPr>
          <w:sz w:val="20"/>
          <w:szCs w:val="20"/>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The Common Stock is listed on the NYSE under the ticker symbol “MKC-V” and the Common Stock Non-Voting is listed on the NYSE under the ticker symbol “MKC.”</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transfer agent and registrar for the Equity Securities is Equiniti Trust Company d/b/a EQ Shareowner Services.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CERTAIN PROVISIONS OF MARYLAND LAW AND OUR CHARTER AND BY-LAWS</w:t>
      </w:r>
    </w:p>
    <w:p>
      <w:pPr>
        <w:spacing w:after="0" w:line="176" w:lineRule="exact"/>
        <w:rPr>
          <w:sz w:val="20"/>
          <w:szCs w:val="20"/>
          <w:color w:val="auto"/>
        </w:rPr>
      </w:pPr>
    </w:p>
    <w:p>
      <w:pPr>
        <w:ind w:left="240" w:right="499" w:firstLine="341"/>
        <w:spacing w:after="0" w:line="265" w:lineRule="auto"/>
        <w:rPr>
          <w:sz w:val="20"/>
          <w:szCs w:val="20"/>
          <w:color w:val="auto"/>
        </w:rPr>
      </w:pPr>
      <w:r>
        <w:rPr>
          <w:rFonts w:ascii="Times New Roman" w:cs="Times New Roman" w:eastAsia="Times New Roman" w:hAnsi="Times New Roman"/>
          <w:sz w:val="14"/>
          <w:szCs w:val="14"/>
          <w:color w:val="auto"/>
        </w:rPr>
        <w:t>The following summarizes certain material provisions of Maryland law and our Charter and By-Laws. Copies of our Charter and By-Laws are filed as exhibits to the registration statement of which this prospectus is a part. See “Where You Can Find More Information and Incorporation by Reference.”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 of Directors; Vacancies; Removal</w:t>
      </w:r>
    </w:p>
    <w:p>
      <w:pPr>
        <w:spacing w:after="0" w:line="92" w:lineRule="exact"/>
        <w:rPr>
          <w:sz w:val="20"/>
          <w:szCs w:val="20"/>
          <w:color w:val="auto"/>
        </w:rPr>
      </w:pPr>
    </w:p>
    <w:p>
      <w:pPr>
        <w:ind w:left="240" w:right="299" w:firstLine="341"/>
        <w:spacing w:after="0" w:line="279" w:lineRule="auto"/>
        <w:rPr>
          <w:sz w:val="20"/>
          <w:szCs w:val="20"/>
          <w:color w:val="auto"/>
        </w:rPr>
      </w:pPr>
      <w:r>
        <w:rPr>
          <w:rFonts w:ascii="Times New Roman" w:cs="Times New Roman" w:eastAsia="Times New Roman" w:hAnsi="Times New Roman"/>
          <w:sz w:val="13"/>
          <w:szCs w:val="13"/>
          <w:color w:val="auto"/>
        </w:rPr>
        <w:t>Our By-Laws provide that the number of directors will be not less than six and not more than twenty. Our By-Laws provide that a majority of our entire board of directors may at any time increase or decrease the number of directors. However, unless our By-Laws are amended by the board of directors, the number of directors may never be more than twenty. Our By-Laws currently provide that any vacancy caused by the death or resignation of a director or the removal of a director by the stockholders without appointing another director in his or her place may be filled by a majority of the remaining directors, and that a vacancy resulting from an increase in the number of directors may be filled by a majority of the entire board of directors. Any individual elected to fill such vacancy will serve until the next annual meeting of stockholders and until a successor is duly elected and qualified.</w:t>
      </w:r>
    </w:p>
    <w:p>
      <w:pPr>
        <w:spacing w:after="0" w:line="129" w:lineRule="exact"/>
        <w:rPr>
          <w:sz w:val="20"/>
          <w:szCs w:val="20"/>
          <w:color w:val="auto"/>
        </w:rPr>
      </w:pPr>
    </w:p>
    <w:p>
      <w:pPr>
        <w:ind w:left="240" w:right="459" w:firstLine="341"/>
        <w:spacing w:after="0" w:line="281" w:lineRule="auto"/>
        <w:rPr>
          <w:sz w:val="20"/>
          <w:szCs w:val="20"/>
          <w:color w:val="auto"/>
        </w:rPr>
      </w:pPr>
      <w:r>
        <w:rPr>
          <w:rFonts w:ascii="Times New Roman" w:cs="Times New Roman" w:eastAsia="Times New Roman" w:hAnsi="Times New Roman"/>
          <w:sz w:val="14"/>
          <w:szCs w:val="14"/>
          <w:color w:val="auto"/>
        </w:rPr>
        <w:t>Our board of directors is not currently classified. However, it would be permissible under the MGCL for our board of directors to classify itself without stockholder approval.</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holders of Common Stock do not have cumulative voting rights in the election of directors.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Authorized but Unissued Capital Stock</w:t>
      </w:r>
    </w:p>
    <w:p>
      <w:pPr>
        <w:spacing w:after="0" w:line="92" w:lineRule="exact"/>
        <w:rPr>
          <w:sz w:val="20"/>
          <w:szCs w:val="20"/>
          <w:color w:val="auto"/>
        </w:rPr>
      </w:pPr>
    </w:p>
    <w:p>
      <w:pPr>
        <w:ind w:left="240" w:right="339" w:firstLine="341"/>
        <w:spacing w:after="0" w:line="260" w:lineRule="auto"/>
        <w:rPr>
          <w:sz w:val="20"/>
          <w:szCs w:val="20"/>
          <w:color w:val="auto"/>
        </w:rPr>
      </w:pPr>
      <w:r>
        <w:rPr>
          <w:rFonts w:ascii="Times New Roman" w:cs="Times New Roman" w:eastAsia="Times New Roman" w:hAnsi="Times New Roman"/>
          <w:sz w:val="14"/>
          <w:szCs w:val="14"/>
          <w:color w:val="auto"/>
        </w:rPr>
        <w:t>The Charter provides that the board of directors may classify or reclassify any unissued stock into one or more classes or series of common stock or preferred stock by setting or changing the preferences, voting powers, restrictions, limitations as to dividends, qualifications, or terms or prices of redemption of the shares. These additional shares may be used for a variety of corporate purposes, including future public offerings to raise additional capital or to facilitate acquisitions.</w:t>
      </w:r>
    </w:p>
    <w:p>
      <w:pPr>
        <w:spacing w:after="0" w:line="140"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and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the Company’s management and possibly deprive the stockholders of opportunities to sell their shares at prices higher than prevailing market prices. Although we have no present intention of doing so, these actions can be taken without stockholder approval, unless stockholder approval is required by applicable law or the rules of any stock exchange or automated quotation system on which our securities may be listed or traded. The NYSE currently requires stockholder approval as a prerequisite to issuing shares in several instances, including where the present or potential issuance of shares could result in an increase in the number of shares of common stock or in the amount of voting securities outstanding by at least 20%. If the approval of our stockholders is not required for the issuance of our common stock or preferred stock, our board of directors may determine not to seek stockholder approval.</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Special Meetings of Stockholders</w:t>
      </w:r>
    </w:p>
    <w:p>
      <w:pPr>
        <w:spacing w:after="0" w:line="92" w:lineRule="exact"/>
        <w:rPr>
          <w:sz w:val="20"/>
          <w:szCs w:val="20"/>
          <w:color w:val="auto"/>
        </w:rPr>
      </w:pPr>
    </w:p>
    <w:p>
      <w:pPr>
        <w:ind w:left="240" w:right="279" w:firstLine="341"/>
        <w:spacing w:after="0" w:line="295" w:lineRule="auto"/>
        <w:rPr>
          <w:sz w:val="20"/>
          <w:szCs w:val="20"/>
          <w:color w:val="auto"/>
        </w:rPr>
      </w:pPr>
      <w:r>
        <w:rPr>
          <w:rFonts w:ascii="Times New Roman" w:cs="Times New Roman" w:eastAsia="Times New Roman" w:hAnsi="Times New Roman"/>
          <w:sz w:val="13"/>
          <w:szCs w:val="13"/>
          <w:color w:val="auto"/>
        </w:rPr>
        <w:t>Our By-Laws provide that a special meeting may be called, for any purpose or purposes, by the chairman of the board of directors or the president or by a majority of the board of directors. In addition, our By-Laws provide that a special meeting shall be called by the secretary if the holders of not less than a majority of all the votes entitled to be cast on any issue proposed to be considered at such special meeting deliver to the secretary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49" w:name="page50"/>
    <w:bookmarkEnd w:id="49"/>
    <w:p>
      <w:pPr>
        <w:ind w:left="240" w:right="37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one or more written demands for a special meeting, describing the purpose or purposes for which the meeting is to be held and the matters proposed to be acted on at such meeting.</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Requirements for Advance Notification of Stockholder Nominations and Proposals</w:t>
      </w:r>
    </w:p>
    <w:p>
      <w:pPr>
        <w:spacing w:after="0" w:line="92"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Our By-Laws establish advance notice procedures with respect to stockholder proposals and the nomination of candidates for election as directors. Our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Action by Stockholders</w:t>
      </w:r>
    </w:p>
    <w:p>
      <w:pPr>
        <w:spacing w:after="0" w:line="92" w:lineRule="exact"/>
        <w:rPr>
          <w:sz w:val="20"/>
          <w:szCs w:val="20"/>
          <w:color w:val="auto"/>
        </w:rPr>
      </w:pPr>
    </w:p>
    <w:p>
      <w:pPr>
        <w:ind w:left="240" w:right="379" w:firstLine="341"/>
        <w:spacing w:after="0" w:line="281" w:lineRule="auto"/>
        <w:rPr>
          <w:sz w:val="20"/>
          <w:szCs w:val="20"/>
          <w:color w:val="auto"/>
        </w:rPr>
      </w:pPr>
      <w:r>
        <w:rPr>
          <w:rFonts w:ascii="Times New Roman" w:cs="Times New Roman" w:eastAsia="Times New Roman" w:hAnsi="Times New Roman"/>
          <w:sz w:val="14"/>
          <w:szCs w:val="14"/>
          <w:color w:val="auto"/>
        </w:rPr>
        <w:t>Under the MGCL, stockholders may take any action that may be taken at an annual or special meeting of the stockholders by unanimous written consent.</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Dissolution and other Fundamental Transactions</w:t>
      </w:r>
    </w:p>
    <w:p>
      <w:pPr>
        <w:spacing w:after="0" w:line="92" w:lineRule="exact"/>
        <w:rPr>
          <w:sz w:val="20"/>
          <w:szCs w:val="20"/>
          <w:color w:val="auto"/>
        </w:rPr>
      </w:pPr>
    </w:p>
    <w:p>
      <w:pPr>
        <w:jc w:val="both"/>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Under the MGCL, a Maryland corporation generally cannot dissolve, amend its charter, merge or consolidate with, or convert into, another entity, sell all or substantially all of its assets or engage in a statutory share exchange or engage in a similar transaction outside the ordinary course of business unless approved by its board of directors and by the affirmative vote of stockholders entitled to cast at least two-thirds of the votes entitled to be cast on the matter.</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Indemnification and Limitation of Directors’ and Officers’ Liability</w:t>
      </w:r>
    </w:p>
    <w:p>
      <w:pPr>
        <w:spacing w:after="0" w:line="92" w:lineRule="exact"/>
        <w:rPr>
          <w:sz w:val="20"/>
          <w:szCs w:val="20"/>
          <w:color w:val="auto"/>
        </w:rPr>
      </w:pPr>
    </w:p>
    <w:p>
      <w:pPr>
        <w:jc w:val="both"/>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The MGCL permits a Maryland corporation to include in its charter a provision limiting the liability of its directors and officers to the corporation and its stockholders for money damages, except for liability resulting from:</w:t>
      </w:r>
    </w:p>
    <w:p>
      <w:pPr>
        <w:spacing w:after="0" w:line="52" w:lineRule="exact"/>
        <w:rPr>
          <w:sz w:val="20"/>
          <w:szCs w:val="20"/>
          <w:color w:val="auto"/>
        </w:rPr>
      </w:pPr>
    </w:p>
    <w:p>
      <w:pPr>
        <w:ind w:left="980" w:hanging="327"/>
        <w:spacing w:after="0"/>
        <w:tabs>
          <w:tab w:leader="none" w:pos="9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receipt of an improper benefit or profit in money, property or services; 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and deliberate dishonesty established by a final judgment and which is material to the cause of action.</w:t>
      </w:r>
    </w:p>
    <w:p>
      <w:pPr>
        <w:spacing w:after="0" w:line="174"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Our Charter contains a provision that eliminates directors’ and officers’ liability for money damages to the maximum extent permitted by Maryland law. These limitations of liability do not apply to liabilities arising under the federal securities laws and do not generally affect the availability of equitable remedies such as injunctive relief or rescission. Our By-Laws require us to indemnify our directors and officers (and permit us to indemnify certain other parties) to the fullest extent permitted from time to time by Maryland law.</w:t>
      </w:r>
    </w:p>
    <w:p>
      <w:pPr>
        <w:spacing w:after="0" w:line="140" w:lineRule="exact"/>
        <w:rPr>
          <w:sz w:val="20"/>
          <w:szCs w:val="20"/>
          <w:color w:val="auto"/>
        </w:rPr>
      </w:pPr>
    </w:p>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The MGCL requires a Maryland corporation to indemnify a director or officer who has been successful in the defense of any proceeding to which he or she is made, or threatened to be made, a party by reason of his or her service in that capacity (unless its charter provides otherwise, which our Charter does not). The MGCL also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capacities unless it is established that:</w:t>
      </w:r>
    </w:p>
    <w:p>
      <w:pPr>
        <w:spacing w:after="0" w:line="69" w:lineRule="exact"/>
        <w:rPr>
          <w:sz w:val="20"/>
          <w:szCs w:val="20"/>
          <w:color w:val="auto"/>
        </w:rPr>
      </w:pPr>
    </w:p>
    <w:p>
      <w:pPr>
        <w:ind w:left="980" w:right="379" w:hanging="327"/>
        <w:spacing w:after="0" w:line="281" w:lineRule="auto"/>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or omission of the director or officer was material to the matter giving rise to the proceeding and (i) was committed in bad faith or (ii) was the result of active and deliberate dishonesty;</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or officer actually received an improper personal benefit in money, property or services;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50" w:name="page51"/>
    <w:bookmarkEnd w:id="50"/>
    <w:p>
      <w:pPr>
        <w:ind w:left="980" w:hanging="327"/>
        <w:spacing w:after="0"/>
        <w:tabs>
          <w:tab w:leader="none" w:pos="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the case of any criminal proceeding, the director or officer had reasonable cause to believe that the act or omission was unlawful.</w:t>
      </w:r>
    </w:p>
    <w:p>
      <w:pPr>
        <w:spacing w:after="0" w:line="174" w:lineRule="exact"/>
        <w:rPr>
          <w:sz w:val="20"/>
          <w:szCs w:val="20"/>
          <w:color w:val="auto"/>
        </w:rPr>
      </w:pPr>
    </w:p>
    <w:p>
      <w:pPr>
        <w:jc w:val="both"/>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However, under Maryland law,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66" w:lineRule="exact"/>
        <w:rPr>
          <w:sz w:val="20"/>
          <w:szCs w:val="20"/>
          <w:color w:val="auto"/>
        </w:rPr>
      </w:pPr>
    </w:p>
    <w:p>
      <w:pPr>
        <w:ind w:left="980" w:right="539" w:hanging="327"/>
        <w:spacing w:after="0" w:line="281"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written affirmation by the director or officer of his or her good faith belief that he or she has met the standard of conduct necessary for indemnification by the corporation; and</w:t>
      </w:r>
    </w:p>
    <w:p>
      <w:pPr>
        <w:spacing w:after="0" w:line="52" w:lineRule="exact"/>
        <w:rPr>
          <w:rFonts w:ascii="Times New Roman" w:cs="Times New Roman" w:eastAsia="Times New Roman" w:hAnsi="Times New Roman"/>
          <w:sz w:val="14"/>
          <w:szCs w:val="14"/>
          <w:color w:val="auto"/>
        </w:rPr>
      </w:pPr>
    </w:p>
    <w:p>
      <w:pPr>
        <w:ind w:left="980" w:right="519" w:hanging="327"/>
        <w:spacing w:after="0" w:line="281"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undertaking by him or her or on his or her behalf to repay the amount paid or reimbursed by the corporation if it is ultimately determined that the standard of conduct was not met.</w:t>
      </w:r>
    </w:p>
    <w:p>
      <w:pPr>
        <w:spacing w:after="0" w:line="125" w:lineRule="exact"/>
        <w:rPr>
          <w:sz w:val="20"/>
          <w:szCs w:val="20"/>
          <w:color w:val="auto"/>
        </w:rPr>
      </w:pPr>
    </w:p>
    <w:p>
      <w:pPr>
        <w:jc w:val="both"/>
        <w:ind w:left="240" w:right="379" w:firstLine="341"/>
        <w:spacing w:after="0" w:line="265" w:lineRule="auto"/>
        <w:rPr>
          <w:sz w:val="20"/>
          <w:szCs w:val="20"/>
          <w:color w:val="auto"/>
        </w:rPr>
      </w:pPr>
      <w:r>
        <w:rPr>
          <w:rFonts w:ascii="Times New Roman" w:cs="Times New Roman" w:eastAsia="Times New Roman" w:hAnsi="Times New Roman"/>
          <w:sz w:val="14"/>
          <w:szCs w:val="14"/>
          <w:color w:val="auto"/>
        </w:rPr>
        <w:t>We also maintain for the benefit of our directors and officers insurance covering certain liabilities asserted against or incurred by such persons in their capacity as, or as a result of their position as, director or officer. This insurance may afford protection for liabilities not subject to indemnification under our By-Laws and the MGCL.</w:t>
      </w:r>
    </w:p>
    <w:p>
      <w:pPr>
        <w:spacing w:after="0" w:line="136"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Additionally, we entered into indemnification agreements with each of our directors and executive officers, utilizing the standard form of indemnification agreement approved by the board of directors. The indemnification agreements require us to indemnify a director or an executive officer and to advance expenses on behalf of such director or executive officer to the fullest extent permitted by applicable law and establish the procedures by which a director or an executive officer may request and receive indemnification. The agreements are in addition to other rights to which a director may be entitled under our Charter, By-Laws and applicable law.</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Control Share Acquisitions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Maryland Control Share Acquisition Act (the “Control Share Acquisition Act”) provides that “control shares” of a Maryland corporation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acquired in a “control share acquisition” have no voting rights except to the extent approved at a special meeting of stockholders by a vote of at</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least two-thirds of the votes entitled to be cast on the matter. Shares owned by the acquiring person, by officers of the corporation or by directors who</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are employees of the corporation are excluded from shares entitled to vote on the matter.</w:t>
      </w:r>
    </w:p>
    <w:p>
      <w:pPr>
        <w:spacing w:after="0" w:line="159" w:lineRule="exact"/>
        <w:rPr>
          <w:sz w:val="20"/>
          <w:szCs w:val="20"/>
          <w:color w:val="auto"/>
        </w:rPr>
      </w:pPr>
    </w:p>
    <w:p>
      <w:pPr>
        <w:ind w:left="240" w:right="519" w:firstLine="341"/>
        <w:spacing w:after="0" w:line="265" w:lineRule="auto"/>
        <w:rPr>
          <w:sz w:val="20"/>
          <w:szCs w:val="20"/>
          <w:color w:val="auto"/>
        </w:rPr>
      </w:pPr>
      <w:r>
        <w:rPr>
          <w:rFonts w:ascii="Times New Roman" w:cs="Times New Roman" w:eastAsia="Times New Roman" w:hAnsi="Times New Roman"/>
          <w:sz w:val="14"/>
          <w:szCs w:val="14"/>
          <w:color w:val="auto"/>
        </w:rPr>
        <w:t>“Control shares” are voting shares of stock which, if aggregated with all other shares of stock owned by the acquiring person or in respect of which the acquiring person is able to exercise or direct the exercise of voting power (except solely by virtue of a revocable proxy), would entitle the acquiring person to exercise voting power in electing directors within one of the following ranges of voting power:</w:t>
      </w:r>
    </w:p>
    <w:p>
      <w:pPr>
        <w:spacing w:after="0" w:line="63" w:lineRule="exact"/>
        <w:rPr>
          <w:sz w:val="20"/>
          <w:szCs w:val="20"/>
          <w:color w:val="auto"/>
        </w:rPr>
      </w:pPr>
    </w:p>
    <w:p>
      <w:pPr>
        <w:ind w:left="980" w:hanging="327"/>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174" w:lineRule="exact"/>
        <w:rPr>
          <w:sz w:val="20"/>
          <w:szCs w:val="20"/>
          <w:color w:val="auto"/>
        </w:rPr>
      </w:pPr>
    </w:p>
    <w:p>
      <w:pPr>
        <w:jc w:val="both"/>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Control shares do not include shares the acquiring person is then entitled to vote as a result of having previously obtained stockholder approval. A “control share acquisition” means the acquisition, directly or indirectly, of issued and outstanding control shares, but does not include the acquisition of shares, among others, (i) under the laws of descent and distribution, (ii) under the satisfaction of a pledge or other security interest created in good faith and not for the purpose of circumventing the Control Share Acquisition Act or (iii) pursuant to a merger, consolidation or share exchange effected under Subtitle 1 of the Control Share Acquisition Act if the corporation is a party to the merger, consolidation or share exchange.</w:t>
      </w:r>
    </w:p>
    <w:p>
      <w:pPr>
        <w:spacing w:after="0" w:line="143" w:lineRule="exact"/>
        <w:rPr>
          <w:sz w:val="20"/>
          <w:szCs w:val="20"/>
          <w:color w:val="auto"/>
        </w:rPr>
      </w:pPr>
    </w:p>
    <w:p>
      <w:pPr>
        <w:ind w:left="240" w:right="559" w:firstLine="341"/>
        <w:spacing w:after="0" w:line="281"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directors of the corporation to call a special meeting of stockholders to be held within fifty days of demand to consider the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51" w:name="page52"/>
    <w:bookmarkEnd w:id="51"/>
    <w:p>
      <w:pPr>
        <w:ind w:left="240" w:right="3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36"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the last control share acquisition by the acquiring person or of any meeting of stockholders at which the voting rights of the shares are considered and not approved. If voting rights for control shares are approved at a stockholders meeting and the acquiring person becomes entitled to vote a majority of the shares entitled to vote, all other stockholders may exercise appraisal rights. The fair value of the shares as determined for purposes of appraisal rights may not be less than the highest price per share paid by the acquiring person in the control share acquisition.</w:t>
      </w:r>
    </w:p>
    <w:p>
      <w:pPr>
        <w:spacing w:after="0" w:line="144"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The Control Share Acquisition Act does not apply to shares acquired in a merger, consolidation or share exchange if the corporation is a party to the transaction or to acquisitions approved or exempted by the Charter or By-Laws of the corporation. We have not approved or exempted any individuals or transactions through such a provision.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2" w:lineRule="exact"/>
        <w:rPr>
          <w:sz w:val="20"/>
          <w:szCs w:val="20"/>
          <w:color w:val="auto"/>
        </w:rPr>
      </w:pPr>
    </w:p>
    <w:p>
      <w:pPr>
        <w:jc w:val="both"/>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Under the MGCL, certain “business combinations” between a Maryland corporation and an “Interested Stockholder” (as defined in the MGCL) or an affiliate of an Interested Stockholder are prohibited for five years after the most recent date on which the Interested Stockholder became an Interested Stockholder, unless an exemption is available. The MGCL defines an Interested Stockholder as:</w:t>
      </w:r>
    </w:p>
    <w:p>
      <w:pPr>
        <w:spacing w:after="0" w:line="63" w:lineRule="exact"/>
        <w:rPr>
          <w:sz w:val="20"/>
          <w:szCs w:val="20"/>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directly or indirectly, 10% or more of the voting power of the corporation’s voting stock; or</w:t>
      </w:r>
    </w:p>
    <w:p>
      <w:pPr>
        <w:spacing w:after="0" w:line="100" w:lineRule="exact"/>
        <w:rPr>
          <w:rFonts w:ascii="Times New Roman" w:cs="Times New Roman" w:eastAsia="Times New Roman" w:hAnsi="Times New Roman"/>
          <w:sz w:val="14"/>
          <w:szCs w:val="14"/>
          <w:color w:val="auto"/>
        </w:rPr>
      </w:pPr>
    </w:p>
    <w:p>
      <w:pPr>
        <w:ind w:left="980" w:right="579" w:hanging="327"/>
        <w:spacing w:after="0" w:line="281"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25" w:lineRule="exact"/>
        <w:rPr>
          <w:sz w:val="20"/>
          <w:szCs w:val="20"/>
          <w:color w:val="auto"/>
        </w:rPr>
      </w:pPr>
    </w:p>
    <w:p>
      <w:pPr>
        <w:ind w:left="240" w:right="499" w:firstLine="341"/>
        <w:spacing w:after="0" w:line="265" w:lineRule="auto"/>
        <w:rPr>
          <w:sz w:val="20"/>
          <w:szCs w:val="20"/>
          <w:color w:val="auto"/>
        </w:rPr>
      </w:pPr>
      <w:r>
        <w:rPr>
          <w:rFonts w:ascii="Times New Roman" w:cs="Times New Roman" w:eastAsia="Times New Roman" w:hAnsi="Times New Roman"/>
          <w:sz w:val="14"/>
          <w:szCs w:val="14"/>
          <w:color w:val="auto"/>
        </w:rPr>
        <w:t>A person is not an Interested Stockholder under the statute if the board of directors approves in advance the transaction by which the person otherwise would have become an Interested Stockholder. In approving a transaction, however, the board of directors may provide that its approval is subject to compliance at or after the time of the approval, with any terms and conditions determined by the board of directors.</w:t>
      </w:r>
    </w:p>
    <w:p>
      <w:pPr>
        <w:spacing w:after="0" w:line="136"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After the five-year prohibition, in addition to the vote required by the MGCL and the Charter, a business combination must be recommended by the board of directors of the corporation and approved by the affirmative vote of at least (i) 80% of the votes entitled to be cast by holders of outstanding voting shares of the corporation and (ii) two-thirds of the votes entitled to be cast by holders of outstanding voting shares of the corporation other than shares held by the Interested Stockholder (or its affiliate) with whom the business combination is to be effected, unless the corporation’s stockholders receive a minimum price (as defined in the MGCL) for their shares and the consideration is received in cash or in the same form as previously paid by the Interested Stockholder for its shares.</w:t>
      </w:r>
    </w:p>
    <w:p>
      <w:pPr>
        <w:spacing w:after="0" w:line="146"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Maryland’s business combination statute does not apply to business combinations that are approved or exempted by the board of directors prior to the time that the Interested Stockholder becomes an Interested Stockholder. In addition, Maryland’s business combination statute does not apply to a corporation that “opts out” of the business combination statute through a provision in its articles of incorporation. We have not elected to “opt out” of Maryland’s business combination statute through such a provision.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52" w:name="page53"/>
    <w:bookmarkEnd w:id="52"/>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Unsolicited Takeovers Act</w:t>
      </w:r>
    </w:p>
    <w:p>
      <w:pPr>
        <w:spacing w:after="0" w:line="92"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Subtitle 8 of Title 3 of the MGCL, commonly referred to as the Maryland Unsolicited Takeover Act (“MUTA”), permits a Maryland corporation with a class of equity securities registered under the Exchange Act and at least three independent directors, by provision in its charter or by-laws or a resolution of its board of directors, without obtaining stockholder approval and notwithstanding any contrary provision in the charter or by-laws, to elect to be governed by any or all of the following five provisions:</w:t>
      </w:r>
    </w:p>
    <w:p>
      <w:pPr>
        <w:spacing w:after="0" w:line="66" w:lineRule="exact"/>
        <w:rPr>
          <w:sz w:val="20"/>
          <w:szCs w:val="20"/>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two-thirds stockholder vote requirement for removing a director;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the number of directors be fixed only by vote of the directors;</w:t>
      </w:r>
    </w:p>
    <w:p>
      <w:pPr>
        <w:spacing w:after="0" w:line="100" w:lineRule="exact"/>
        <w:rPr>
          <w:rFonts w:ascii="Times New Roman" w:cs="Times New Roman" w:eastAsia="Times New Roman" w:hAnsi="Times New Roman"/>
          <w:sz w:val="14"/>
          <w:szCs w:val="14"/>
          <w:color w:val="auto"/>
        </w:rPr>
      </w:pPr>
    </w:p>
    <w:p>
      <w:pPr>
        <w:ind w:left="980" w:right="279" w:hanging="327"/>
        <w:spacing w:after="0" w:line="281"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a vacancy on the board of directors be filled only by the remaining directors and for the remainder of the full term of the directorship in which the vacancy occurred; and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requirement for the calling of a special meeting of stockholders.</w:t>
      </w:r>
    </w:p>
    <w:p>
      <w:pPr>
        <w:spacing w:after="0" w:line="174" w:lineRule="exact"/>
        <w:rPr>
          <w:sz w:val="20"/>
          <w:szCs w:val="20"/>
          <w:color w:val="auto"/>
        </w:rPr>
      </w:pPr>
    </w:p>
    <w:p>
      <w:pPr>
        <w:ind w:left="240" w:right="239" w:firstLine="341"/>
        <w:spacing w:after="0" w:line="254" w:lineRule="auto"/>
        <w:rPr>
          <w:sz w:val="20"/>
          <w:szCs w:val="20"/>
          <w:color w:val="auto"/>
        </w:rPr>
      </w:pPr>
      <w:r>
        <w:rPr>
          <w:rFonts w:ascii="Times New Roman" w:cs="Times New Roman" w:eastAsia="Times New Roman" w:hAnsi="Times New Roman"/>
          <w:sz w:val="14"/>
          <w:szCs w:val="14"/>
          <w:color w:val="auto"/>
        </w:rPr>
        <w:t>We have not elected to be governed by these specific provisions, but we currently have more than three independent directors. Through provisions in our Charter and By-Laws unrelated to Subtitle 8, we already (i) vest in the board the exclusive power to fix the number of directors and (ii) allow stockholders entitled to cast a majority of all the votes entitled to be cast at the meeting to call a special meeting. Our By-Laws currently provide that any vacancy caused by the death or resignation of a director or the removal of a director by the stockholders without appointing another director in his or her place may be filled by a majority of the remaining directors, and that a vacancy resulting from an increase in the number of directors may be filled by a majority of the entire board of directors. Any individual elected to fill such vacancy will serve until the next annual meeting of stockholders and until a successor is duly elected and qualified.</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Anti-takeover Effect of Certain Provisions of Maryland Law and of Our Charter and By-laws</w:t>
      </w:r>
    </w:p>
    <w:p>
      <w:pPr>
        <w:spacing w:after="0" w:line="92"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The business combination and control share acquisition provisions of Maryland law and certain provisions of our Charter and By-Laws, such as the unanimity requirement for written consent by stockholders and the advance notice provisions of our By-Laws, make it difficult for a potential acquirer to acquire us and discourage certain coercive takeover practices and inadequate takeover bids and may encourage persons seeking to acquire control of us to negotiate first with our board of directors. Likewise, if our board of directors were to opt in to any of the provisions of MUTA, such provisions could have similar anti-takeover effects. We believe that the benefits of these provisions outweigh the potential disadvantages of discouraging any such acquisition proposals because, among other things, the negotiation of such proposals may improve their terms.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DEBT SECURITIES</w:t>
      </w:r>
    </w:p>
    <w:p>
      <w:pPr>
        <w:spacing w:after="0" w:line="174"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description of the terms of the Debt Securities sets forth certain general terms and provisions of the Debt Securities to which any prospectus supplement may relate. The Debt Securities are to be issued under the Indenture (the “Indenture”), dated as of July 8, 2011, between McCormick and U.S. Bank Trust Company, National Association, as successor in interest to U.S. Bank National Association, as trustee (the “Trustee”), a copy of which has been filed with the Commission as an exhibit to the registration statement of which this prospectus is a part. We will include in a supplement to this prospectus and/or in a free writing prospectus or pricing supplement authorized by us, the specific terms of each series of Debt Securities being offered. The following summaries of certain provisions of the Indenture and the Debt Securities do not purport to be complete and are subject to, and are qualified in their entirety by reference to, all provisions of the Indenture (including any amendments or supplements we may enter into from time to time) and the Debt Securities. Capitalized terms are defined in the Indenture unless otherwise defined herein. Wherever particular provisions or defined terms of the Indenture are referred to, such provisions or defined terms are incorporated herein by reference. As used in this section, except as the context otherwise requires, or as otherwise specified or used in this section, the terms “McCormick,” “we,” “our” and “us” refer to McCormick &amp; Company, Incorporated.</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240" w:right="479" w:firstLine="341"/>
        <w:spacing w:after="0" w:line="286" w:lineRule="auto"/>
        <w:rPr>
          <w:sz w:val="20"/>
          <w:szCs w:val="20"/>
          <w:color w:val="auto"/>
        </w:rPr>
      </w:pPr>
      <w:r>
        <w:rPr>
          <w:rFonts w:ascii="Times New Roman" w:cs="Times New Roman" w:eastAsia="Times New Roman" w:hAnsi="Times New Roman"/>
          <w:sz w:val="13"/>
          <w:szCs w:val="13"/>
          <w:color w:val="auto"/>
        </w:rPr>
        <w:t>The Indenture provides that we may issue Debt Securities without limit as to aggregate principal amount, in one or more series, in each case as established from time to time in, or under authority granted by, a resolution of our board of directors or as established in one or more supplemental indentures or officer’s certificates. We may issue Debt Securities with terms different from those of Debt Securities previously issued. The Debt Securities will be unsecured and will rank equally in right of payment with all other unsecured and unsubordinated indebtedness of McCormick.</w:t>
      </w:r>
    </w:p>
    <w:p>
      <w:pPr>
        <w:spacing w:after="0" w:line="125" w:lineRule="exact"/>
        <w:rPr>
          <w:sz w:val="20"/>
          <w:szCs w:val="20"/>
          <w:color w:val="auto"/>
        </w:rPr>
      </w:pPr>
    </w:p>
    <w:p>
      <w:pPr>
        <w:ind w:left="240" w:right="759" w:firstLine="341"/>
        <w:spacing w:after="0" w:line="281" w:lineRule="auto"/>
        <w:rPr>
          <w:sz w:val="20"/>
          <w:szCs w:val="20"/>
          <w:color w:val="auto"/>
        </w:rPr>
      </w:pPr>
      <w:r>
        <w:rPr>
          <w:rFonts w:ascii="Times New Roman" w:cs="Times New Roman" w:eastAsia="Times New Roman" w:hAnsi="Times New Roman"/>
          <w:sz w:val="14"/>
          <w:szCs w:val="14"/>
          <w:color w:val="auto"/>
        </w:rPr>
        <w:t>Please read the applicable prospectus supplement relating to the applicable series of Debt Securities for the terms of such Debt Securities, including where applicable:</w:t>
      </w:r>
    </w:p>
    <w:p>
      <w:pPr>
        <w:spacing w:after="0" w:line="52" w:lineRule="exact"/>
        <w:rPr>
          <w:sz w:val="20"/>
          <w:szCs w:val="20"/>
          <w:color w:val="auto"/>
        </w:rPr>
      </w:pPr>
    </w:p>
    <w:p>
      <w:pPr>
        <w:ind w:left="980" w:hanging="327"/>
        <w:spacing w:after="0"/>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offered;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 upon the aggregate principal amount of the securities of the series which may be authenticated and delivered under the Indenture;</w:t>
      </w:r>
    </w:p>
    <w:p>
      <w:pPr>
        <w:spacing w:after="0" w:line="112" w:lineRule="exact"/>
        <w:rPr>
          <w:rFonts w:ascii="Times New Roman" w:cs="Times New Roman" w:eastAsia="Times New Roman" w:hAnsi="Times New Roman"/>
          <w:sz w:val="13"/>
          <w:szCs w:val="13"/>
          <w:color w:val="auto"/>
        </w:rPr>
      </w:pPr>
    </w:p>
    <w:p>
      <w:pPr>
        <w:ind w:left="980" w:hanging="327"/>
        <w:spacing w:after="0"/>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is payable;</w:t>
      </w:r>
    </w:p>
    <w:p>
      <w:pPr>
        <w:spacing w:after="0" w:line="100" w:lineRule="exact"/>
        <w:rPr>
          <w:rFonts w:ascii="Times New Roman" w:cs="Times New Roman" w:eastAsia="Times New Roman" w:hAnsi="Times New Roman"/>
          <w:sz w:val="14"/>
          <w:szCs w:val="14"/>
          <w:color w:val="auto"/>
        </w:rPr>
      </w:pPr>
    </w:p>
    <w:p>
      <w:pPr>
        <w:ind w:left="980" w:right="439" w:hanging="327"/>
        <w:spacing w:after="0" w:line="265" w:lineRule="auto"/>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if any, the date or dates from which such interest shall accrue, the interest payment dates on which such interest shall be payable and the regular record date for the interest payable on any interest payment date;</w:t>
      </w:r>
    </w:p>
    <w:p>
      <w:pPr>
        <w:spacing w:after="0" w:line="63" w:lineRule="exact"/>
        <w:rPr>
          <w:rFonts w:ascii="Times New Roman" w:cs="Times New Roman" w:eastAsia="Times New Roman" w:hAnsi="Times New Roman"/>
          <w:sz w:val="14"/>
          <w:szCs w:val="14"/>
          <w:color w:val="auto"/>
        </w:rPr>
      </w:pPr>
    </w:p>
    <w:p>
      <w:pPr>
        <w:ind w:left="980" w:right="359" w:hanging="327"/>
        <w:spacing w:after="0" w:line="265" w:lineRule="auto"/>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premium, if any) and interest on securities of the series shall be payable, any securities of that series may be surrendered for exchange and notices and demands to or upon McCormick in respect of the securities of that series and the Indenture may be served;</w:t>
      </w:r>
    </w:p>
    <w:p>
      <w:pPr>
        <w:spacing w:after="0" w:line="63"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the currency or currency unit in which, and the terms and conditions upon which securities of the series may be redeemed, in whole or in part, at the option of McCormick;</w:t>
      </w:r>
    </w:p>
    <w:p>
      <w:pPr>
        <w:spacing w:after="0" w:line="52" w:lineRule="exact"/>
        <w:rPr>
          <w:rFonts w:ascii="Times New Roman" w:cs="Times New Roman" w:eastAsia="Times New Roman" w:hAnsi="Times New Roman"/>
          <w:sz w:val="14"/>
          <w:szCs w:val="14"/>
          <w:color w:val="auto"/>
        </w:rPr>
      </w:pPr>
    </w:p>
    <w:p>
      <w:pPr>
        <w:ind w:left="980" w:right="299" w:hanging="327"/>
        <w:spacing w:after="0" w:line="260" w:lineRule="auto"/>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McCormick to redeem or purchase securities of the series pursuant to any sinking fund or analogous provisions or at the option of a holder thereof and the period or periods within which, the price or prices at which, the currency or currency unit in which, and the terms and conditions upon which securities of the series shall be redeemed or purchased, in whole or in part, pursuant to such obligation;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54" w:name="page55"/>
    <w:bookmarkEnd w:id="54"/>
    <w:p>
      <w:pPr>
        <w:ind w:left="980" w:right="23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other than denominations of $2,000 and integral multiples of $1,000 in excess thereof, the denominations in which securities of the series shall be issuable;</w:t>
      </w:r>
    </w:p>
    <w:p>
      <w:pPr>
        <w:spacing w:after="0" w:line="52" w:lineRule="exact"/>
        <w:rPr>
          <w:rFonts w:ascii="Times New Roman" w:cs="Times New Roman" w:eastAsia="Times New Roman" w:hAnsi="Times New Roman"/>
          <w:sz w:val="14"/>
          <w:szCs w:val="14"/>
          <w:color w:val="auto"/>
        </w:rPr>
      </w:pPr>
    </w:p>
    <w:p>
      <w:pPr>
        <w:ind w:left="980" w:right="65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securities of the series which shall be payable upon declaration of acceleration of the maturity thereof pursuant to the Indenture;</w:t>
      </w:r>
    </w:p>
    <w:p>
      <w:pPr>
        <w:spacing w:after="0" w:line="52" w:lineRule="exact"/>
        <w:rPr>
          <w:rFonts w:ascii="Times New Roman" w:cs="Times New Roman" w:eastAsia="Times New Roman" w:hAnsi="Times New Roman"/>
          <w:sz w:val="14"/>
          <w:szCs w:val="14"/>
          <w:color w:val="auto"/>
        </w:rPr>
      </w:pPr>
    </w:p>
    <w:p>
      <w:pPr>
        <w:ind w:left="980" w:right="39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and covenants of McCormick with respect to the securities of that series, whether or not such Events of Default or covenants are consistent with the Events of Default or covenants set forth in the Indenture;</w:t>
      </w:r>
    </w:p>
    <w:p>
      <w:pPr>
        <w:spacing w:after="0" w:line="52" w:lineRule="exact"/>
        <w:rPr>
          <w:rFonts w:ascii="Times New Roman" w:cs="Times New Roman" w:eastAsia="Times New Roman" w:hAnsi="Times New Roman"/>
          <w:sz w:val="14"/>
          <w:szCs w:val="14"/>
          <w:color w:val="auto"/>
        </w:rPr>
      </w:pPr>
    </w:p>
    <w:p>
      <w:pPr>
        <w:ind w:left="980" w:right="859" w:hanging="327"/>
        <w:spacing w:after="0" w:line="265"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of America, the currency or currency unit in which payment of the principal of (and premium, if any) or interest, if any, on the securities of that series shall be made or in which securities of that series shall be denominated and the particular provisions applicable thereto;</w:t>
      </w:r>
    </w:p>
    <w:p>
      <w:pPr>
        <w:spacing w:after="0" w:line="63" w:lineRule="exact"/>
        <w:rPr>
          <w:rFonts w:ascii="Times New Roman" w:cs="Times New Roman" w:eastAsia="Times New Roman" w:hAnsi="Times New Roman"/>
          <w:sz w:val="14"/>
          <w:szCs w:val="14"/>
          <w:color w:val="auto"/>
        </w:rPr>
      </w:pPr>
    </w:p>
    <w:p>
      <w:pPr>
        <w:ind w:left="980" w:right="319" w:hanging="327"/>
        <w:spacing w:after="0" w:line="257"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and interest, if any, on the securities of that series are to be payable, at the election of McCormick or a holder thereof, in a currency or currency unit other than that in which such securities are denominated or stated to be payable, the period or periods within which, and the terms and conditions upon which, such election may be made, and the time and manner of determining the exchange rate between the currency or currency unit in which such securities are denominated or stated to be payable and the currency or currency unit in which such securities are to be so payable;</w:t>
      </w:r>
    </w:p>
    <w:p>
      <w:pPr>
        <w:spacing w:after="0" w:line="69" w:lineRule="exact"/>
        <w:rPr>
          <w:rFonts w:ascii="Times New Roman" w:cs="Times New Roman" w:eastAsia="Times New Roman" w:hAnsi="Times New Roman"/>
          <w:sz w:val="14"/>
          <w:szCs w:val="14"/>
          <w:color w:val="auto"/>
        </w:rPr>
      </w:pPr>
    </w:p>
    <w:p>
      <w:pPr>
        <w:jc w:val="both"/>
        <w:ind w:left="980" w:right="419" w:hanging="327"/>
        <w:spacing w:after="0" w:line="265"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or principal of (and premium, if any) or interest, if any, on the securities of the series may be determined with reference to an index based on a currency or currency unit other than that in which securities are denominated or stated to be payable or any other index, the manner in which such amounts shall be determined;</w:t>
      </w:r>
    </w:p>
    <w:p>
      <w:pPr>
        <w:spacing w:after="0" w:line="63"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will not be subject to any provisions relating to satisfaction and discharge or defeasance;</w:t>
      </w:r>
    </w:p>
    <w:p>
      <w:pPr>
        <w:spacing w:after="0" w:line="100" w:lineRule="exact"/>
        <w:rPr>
          <w:rFonts w:ascii="Times New Roman" w:cs="Times New Roman" w:eastAsia="Times New Roman" w:hAnsi="Times New Roman"/>
          <w:sz w:val="14"/>
          <w:szCs w:val="14"/>
          <w:color w:val="auto"/>
        </w:rPr>
      </w:pPr>
    </w:p>
    <w:p>
      <w:pPr>
        <w:ind w:left="980" w:right="33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will be issued in whole or in part in the form of one or more global securities and, in such case, the respective depositaries for such global securities and whether such global securities will be temporary or permanent; and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 (which terms shall not be inconsistent with the provisions of the Indenture).</w:t>
      </w:r>
    </w:p>
    <w:p>
      <w:pPr>
        <w:spacing w:after="0" w:line="174" w:lineRule="exact"/>
        <w:rPr>
          <w:sz w:val="20"/>
          <w:szCs w:val="20"/>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The Debt Securities may be issued in one or more series with the same or various maturities and will be issued only in full registered form without coupons.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2" w:lineRule="exact"/>
        <w:rPr>
          <w:sz w:val="20"/>
          <w:szCs w:val="20"/>
          <w:color w:val="auto"/>
        </w:rPr>
      </w:pPr>
    </w:p>
    <w:p>
      <w:pPr>
        <w:ind w:left="240" w:right="419" w:firstLine="341"/>
        <w:spacing w:after="0" w:line="265" w:lineRule="auto"/>
        <w:rPr>
          <w:sz w:val="20"/>
          <w:szCs w:val="20"/>
          <w:color w:val="auto"/>
        </w:rPr>
      </w:pPr>
      <w:r>
        <w:rPr>
          <w:rFonts w:ascii="Times New Roman" w:cs="Times New Roman" w:eastAsia="Times New Roman" w:hAnsi="Times New Roman"/>
          <w:sz w:val="14"/>
          <w:szCs w:val="14"/>
          <w:color w:val="auto"/>
        </w:rPr>
        <w:t>The Debt Securities of a series may be issued in either registered form (“Registered Securities”) or global form. See “Book-Entry Securities.” Registered Securities may be separated into smaller denominations or combined into larger denominations, as long as the total principal amount is not changed. (Section 3.5 of the Indenture). This is called an “exchange.”</w:t>
      </w:r>
    </w:p>
    <w:p>
      <w:pPr>
        <w:spacing w:after="0" w:line="136" w:lineRule="exact"/>
        <w:rPr>
          <w:sz w:val="20"/>
          <w:szCs w:val="20"/>
          <w:color w:val="auto"/>
        </w:rPr>
      </w:pPr>
    </w:p>
    <w:p>
      <w:pPr>
        <w:ind w:left="240" w:right="359" w:firstLine="341"/>
        <w:spacing w:after="0" w:line="260" w:lineRule="auto"/>
        <w:rPr>
          <w:sz w:val="20"/>
          <w:szCs w:val="20"/>
          <w:color w:val="auto"/>
        </w:rPr>
      </w:pPr>
      <w:r>
        <w:rPr>
          <w:rFonts w:ascii="Times New Roman" w:cs="Times New Roman" w:eastAsia="Times New Roman" w:hAnsi="Times New Roman"/>
          <w:sz w:val="14"/>
          <w:szCs w:val="14"/>
          <w:color w:val="auto"/>
        </w:rPr>
        <w:t>You may transfer Registered Securities of a series and you may exchange Debt Securities of a series at the office of the Trustee. The Trustee will act as our agent for registering Registered Securities in the names of holders and transferring Debt Securities. We may designate someone else to perform this function. Whoever maintains the list of registered holders is called the “Security Registrar.” The Security Registrar also will perform transfers. (Section 3.5 of the Indenture).</w:t>
      </w:r>
    </w:p>
    <w:p>
      <w:pPr>
        <w:spacing w:after="0" w:line="140" w:lineRule="exact"/>
        <w:rPr>
          <w:sz w:val="20"/>
          <w:szCs w:val="20"/>
          <w:color w:val="auto"/>
        </w:rPr>
      </w:pPr>
    </w:p>
    <w:p>
      <w:pPr>
        <w:ind w:left="240" w:right="639" w:firstLine="341"/>
        <w:spacing w:after="0" w:line="281" w:lineRule="auto"/>
        <w:rPr>
          <w:sz w:val="20"/>
          <w:szCs w:val="20"/>
          <w:color w:val="auto"/>
        </w:rPr>
      </w:pPr>
      <w:r>
        <w:rPr>
          <w:rFonts w:ascii="Times New Roman" w:cs="Times New Roman" w:eastAsia="Times New Roman" w:hAnsi="Times New Roman"/>
          <w:sz w:val="14"/>
          <w:szCs w:val="14"/>
          <w:color w:val="auto"/>
        </w:rPr>
        <w:t>You will not be required to pay a service charge to transfer or exchange Debt Securities, but you may be required to pay for any tax or other governmental charge associated with the exchange or transfer. The transfer or</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55" w:name="page56"/>
    <w:bookmarkEnd w:id="55"/>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exchange will be made only if the Security Registrar is satisfied with your proof of ownership. (Section 3.5 of the Indenture).</w:t>
      </w:r>
    </w:p>
    <w:p>
      <w:pPr>
        <w:spacing w:after="0" w:line="174"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If we designate additional transfer agents, we will name them in the accompanying prospectus supplement. We may cancel the designation of any particular transfer agent. We may also approve a change in the office through which any transfer agent acts.</w:t>
      </w:r>
    </w:p>
    <w:p>
      <w:pPr>
        <w:spacing w:after="0" w:line="125"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If we redeem less than all of the Debt Securities of a redeemable series, we may block the transfer or exchange of Registered Securities during the period beginning 15 days before the day of the selection for redemption of such Registered Securities and ending on the day of the mailing of the relevant notice of redemption in order to freeze the list of holders to prepare the mailing. We may also decline to register transfers or exchanges of Debt Securities selected for redemption, except that we will continue to permit transfers and exchanges of the unredeemed portion of any Debt Security being partially redeemed. (Section 3.5 of the Indenture).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If the offered Debt Securities are redeemable, we will describe the procedures for redemption in the accompanying prospectus supplement.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 this “Transfer and Exchange” section of this prospectus, “you” means direct holders and not indirect holders of Debt Securities.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Liens</w:t>
      </w:r>
    </w:p>
    <w:p>
      <w:pPr>
        <w:spacing w:after="0" w:line="92" w:lineRule="exact"/>
        <w:rPr>
          <w:sz w:val="20"/>
          <w:szCs w:val="20"/>
          <w:color w:val="auto"/>
        </w:rPr>
      </w:pPr>
    </w:p>
    <w:p>
      <w:pPr>
        <w:ind w:left="240" w:right="379" w:firstLine="341"/>
        <w:spacing w:after="0" w:line="257" w:lineRule="auto"/>
        <w:rPr>
          <w:sz w:val="20"/>
          <w:szCs w:val="20"/>
          <w:color w:val="auto"/>
        </w:rPr>
      </w:pPr>
      <w:r>
        <w:rPr>
          <w:rFonts w:ascii="Times New Roman" w:cs="Times New Roman" w:eastAsia="Times New Roman" w:hAnsi="Times New Roman"/>
          <w:sz w:val="14"/>
          <w:szCs w:val="14"/>
          <w:color w:val="auto"/>
        </w:rPr>
        <w:t>Except as described below under “—Exempted Indebtedness,” we will not, and will not permit any Restricted Subsidiary to, create, assume or suffer to exist any mortgage, security interest, pledge or lien (“Lien”) of or upon any Principal Property or any shares of capital stock or evidences of indebtedness for borrowed money issued by any Restricted Subsidiary and owned by us or any Restricted Subsidiary, whether owned at the date of the Indenture or thereafter acquired, without providing that the Debt Securities shall be secured by such Lien equally and ratably with any and all other indebtedness or obligations thereby secured, so long as such indebtedness or obligations shall be so secured.</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This restriction does not apply to:</w:t>
      </w:r>
    </w:p>
    <w:p>
      <w:pPr>
        <w:spacing w:after="0" w:line="101" w:lineRule="exact"/>
        <w:rPr>
          <w:sz w:val="20"/>
          <w:szCs w:val="20"/>
          <w:color w:val="auto"/>
        </w:rPr>
      </w:pPr>
    </w:p>
    <w:p>
      <w:pPr>
        <w:ind w:left="980" w:hanging="327"/>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that exist on the date of the Indenture;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of any corporation existing at the time such corporation becomes a Subsidiary;</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us or any Subsidiary;</w:t>
      </w:r>
    </w:p>
    <w:p>
      <w:pPr>
        <w:spacing w:after="0" w:line="100" w:lineRule="exact"/>
        <w:rPr>
          <w:rFonts w:ascii="Times New Roman" w:cs="Times New Roman" w:eastAsia="Times New Roman" w:hAnsi="Times New Roman"/>
          <w:sz w:val="14"/>
          <w:szCs w:val="14"/>
          <w:color w:val="auto"/>
        </w:rPr>
      </w:pPr>
    </w:p>
    <w:p>
      <w:pPr>
        <w:ind w:left="980" w:right="679" w:hanging="327"/>
        <w:spacing w:after="0" w:line="281" w:lineRule="auto"/>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governmental bodies to secure progress, advance or other payments pursuant to contract or statute or indebtedness incurred to finance all or a part of construction of or improvements to property subject to such Liens;</w:t>
      </w:r>
    </w:p>
    <w:p>
      <w:pPr>
        <w:spacing w:after="0" w:line="52" w:lineRule="exact"/>
        <w:rPr>
          <w:rFonts w:ascii="Times New Roman" w:cs="Times New Roman" w:eastAsia="Times New Roman" w:hAnsi="Times New Roman"/>
          <w:sz w:val="14"/>
          <w:szCs w:val="14"/>
          <w:color w:val="auto"/>
        </w:rPr>
      </w:pPr>
    </w:p>
    <w:p>
      <w:pPr>
        <w:ind w:left="980" w:right="339" w:hanging="327"/>
        <w:spacing w:after="0" w:line="260" w:lineRule="auto"/>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existing at the time of acquisition thereof (including acquisition through merger or consolidation), and construction and improvement Liens that are entered into within 180 days from the date of such construction or improvement, provided that in the case of construction or improvement the Lien shall not apply to any property theretofore owned by us or any Restricted Subsidiary except substantially unimproved real property on which the property so constructed or the improvement is located;</w:t>
      </w:r>
    </w:p>
    <w:p>
      <w:pPr>
        <w:spacing w:after="0" w:line="66"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mechanics’ and similar Liens arising in the ordinary course of business in respect of obligations not due or being contested in good faith;</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governmental charges or levies that are not delinquent or are being contested in good faith;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56" w:name="page57"/>
    <w:bookmarkEnd w:id="56"/>
    <w:p>
      <w:pPr>
        <w:ind w:left="980" w:hanging="327"/>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Liens arising from any legal proceedings that are being contested in good faith;</w:t>
      </w:r>
    </w:p>
    <w:p>
      <w:pPr>
        <w:spacing w:after="0" w:line="100" w:lineRule="exact"/>
        <w:rPr>
          <w:rFonts w:ascii="Times New Roman" w:cs="Times New Roman" w:eastAsia="Times New Roman" w:hAnsi="Times New Roman"/>
          <w:sz w:val="14"/>
          <w:szCs w:val="14"/>
          <w:color w:val="auto"/>
        </w:rPr>
      </w:pPr>
    </w:p>
    <w:p>
      <w:pPr>
        <w:ind w:left="980" w:right="259" w:hanging="327"/>
        <w:spacing w:after="0" w:line="295" w:lineRule="auto"/>
        <w:tabs>
          <w:tab w:leader="none" w:pos="9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Liens that (a) are incidental to the ordinary conduct of our business or the ownership of our properties and assets, (b) were not incurred in connection with the borrowing of money or the obtaining of advances or credit and (c) do not in the aggregate materially detract from the value of the property of McCormick or any Subsidiary or materially impair the use thereof in the operation of its business;</w:t>
      </w:r>
    </w:p>
    <w:p>
      <w:pPr>
        <w:spacing w:after="0" w:line="45" w:lineRule="exact"/>
        <w:rPr>
          <w:rFonts w:ascii="Times New Roman" w:cs="Times New Roman" w:eastAsia="Times New Roman" w:hAnsi="Times New Roman"/>
          <w:sz w:val="13"/>
          <w:szCs w:val="13"/>
          <w:color w:val="auto"/>
        </w:rPr>
      </w:pPr>
    </w:p>
    <w:p>
      <w:pPr>
        <w:ind w:left="980" w:hanging="327"/>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industrial development or pollution control bonds; and</w:t>
      </w:r>
    </w:p>
    <w:p>
      <w:pPr>
        <w:spacing w:after="0" w:line="100" w:lineRule="exact"/>
        <w:rPr>
          <w:rFonts w:ascii="Times New Roman" w:cs="Times New Roman" w:eastAsia="Times New Roman" w:hAnsi="Times New Roman"/>
          <w:sz w:val="14"/>
          <w:szCs w:val="14"/>
          <w:color w:val="auto"/>
        </w:rPr>
      </w:pPr>
    </w:p>
    <w:p>
      <w:pPr>
        <w:ind w:left="980" w:right="239" w:hanging="327"/>
        <w:spacing w:after="0" w:line="281" w:lineRule="auto"/>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the sole purpose of extending, renewing or replacing (or successively extending, renewing or replacing) in whole or in part any of the foregoing. (Section 10.7 of the Indenture).</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Sale and Leaseback</w:t>
      </w:r>
    </w:p>
    <w:p>
      <w:pPr>
        <w:spacing w:after="0" w:line="92" w:lineRule="exact"/>
        <w:rPr>
          <w:sz w:val="20"/>
          <w:szCs w:val="20"/>
          <w:color w:val="auto"/>
        </w:rPr>
      </w:pPr>
    </w:p>
    <w:p>
      <w:pPr>
        <w:ind w:left="240" w:right="479" w:firstLine="341"/>
        <w:spacing w:after="0" w:line="286" w:lineRule="auto"/>
        <w:rPr>
          <w:sz w:val="20"/>
          <w:szCs w:val="20"/>
          <w:color w:val="auto"/>
        </w:rPr>
      </w:pPr>
      <w:r>
        <w:rPr>
          <w:rFonts w:ascii="Times New Roman" w:cs="Times New Roman" w:eastAsia="Times New Roman" w:hAnsi="Times New Roman"/>
          <w:sz w:val="13"/>
          <w:szCs w:val="13"/>
          <w:color w:val="auto"/>
        </w:rPr>
        <w:t>Except as described below under “—Exempted Indebtedness,” we will not, nor will we permit any Restricted Subsidiary to, enter into any arrangement with any Person providing for the leasing (as lessee) by us or any Restricted Subsidiary of any Principal Property (except for temporary leases for a term, including any renewal, of not more than three years and except for leases between us and a Restricted Subsidiary or between Restricted Subsidiaries) which property has been or is to be sold or transferred by us or a Restricted Subsidiary to such Person unless either:</w:t>
      </w:r>
    </w:p>
    <w:p>
      <w:pPr>
        <w:spacing w:after="0" w:line="51" w:lineRule="exact"/>
        <w:rPr>
          <w:sz w:val="20"/>
          <w:szCs w:val="20"/>
          <w:color w:val="auto"/>
        </w:rPr>
      </w:pPr>
    </w:p>
    <w:p>
      <w:pPr>
        <w:ind w:left="980" w:right="779" w:hanging="327"/>
        <w:spacing w:after="0" w:line="281" w:lineRule="auto"/>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such Restricted Subsidiary would be entitled, pursuant to the fifth and eleventh clauses of the covenant described under “— Limitations on Liens” above, to incur a Lien on such property without equally and ratably securing the Debt Securities; or</w:t>
      </w:r>
    </w:p>
    <w:p>
      <w:pPr>
        <w:spacing w:after="0" w:line="52" w:lineRule="exact"/>
        <w:rPr>
          <w:rFonts w:ascii="Times New Roman" w:cs="Times New Roman" w:eastAsia="Times New Roman" w:hAnsi="Times New Roman"/>
          <w:sz w:val="14"/>
          <w:szCs w:val="14"/>
          <w:color w:val="auto"/>
        </w:rPr>
      </w:pPr>
    </w:p>
    <w:p>
      <w:pPr>
        <w:ind w:left="980" w:right="379" w:hanging="327"/>
        <w:spacing w:after="0" w:line="257" w:lineRule="auto"/>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of such sale are at least equal to the fair value of such property and we will apply an amount equal to the net proceeds of such sale to the retirement (other than any mandatory retirement or payment at maturity) of (a) Debt Securities (other than any retirement prohibited by the terms of any Debt Securities pursuant to prohibitions on advance refundings) or (b) our or a Restricted Subsidiary’s Funded Debt ranking prior to or on a parity with the Debt Securities, within 120 days of the effective date of any such arrangement. (Section 10.8 of the Indenture).</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Exempted Indebtedness</w:t>
      </w:r>
    </w:p>
    <w:p>
      <w:pPr>
        <w:spacing w:after="0" w:line="92"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Notwithstanding the limitations on Liens and sale and leaseback transactions outlined above, we or any Restricted Subsidiary may create, assume or suffer to exist Liens or enter into sale and leaseback transactions not otherwise permitted as described above provided that at the time of such event, and after giving effect thereto, the sum of outstanding indebtedness for borrowed money of McCormick and its Restricted Subsidiaries incurred after the date of the Indenture and secured by Liens not otherwise permitted as set forth above plus the Attributable Debt in respect of such sale and leaseback transactions entered into by McCormick and its Restricted Subsidiaries after the date of the Indenture not otherwise permitted as set forth above does not exceed 15% of Consolidated Net Tangible Assets. (Sections 1.1, 10.7(b) and 10.8(b) of the Indenture).</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Merger and Consolidation</w:t>
      </w:r>
    </w:p>
    <w:p>
      <w:pPr>
        <w:spacing w:after="0" w:line="92"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We covenant that we will not merge with or consolidate into any other Person or convey, transfer or lease our properties and assets substantially as an entirety and we will not permit any Person to consolidate with or merge into us or convey, transfer or lease its properties and assets substantially as an entirety to us unless, among other things:</w:t>
      </w:r>
    </w:p>
    <w:p>
      <w:pPr>
        <w:spacing w:after="0" w:line="63" w:lineRule="exact"/>
        <w:rPr>
          <w:sz w:val="20"/>
          <w:szCs w:val="20"/>
          <w:color w:val="auto"/>
        </w:rPr>
      </w:pPr>
    </w:p>
    <w:p>
      <w:pPr>
        <w:ind w:left="980" w:right="699" w:hanging="327"/>
        <w:spacing w:after="0" w:line="281" w:lineRule="auto"/>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is organized and existing under the laws of the United States, any state thereof or the District of Columbia and assumes our obligations on the Debt Securities and under the Indenture,</w:t>
      </w:r>
    </w:p>
    <w:p>
      <w:pPr>
        <w:spacing w:after="0" w:line="52" w:lineRule="exact"/>
        <w:rPr>
          <w:rFonts w:ascii="Times New Roman" w:cs="Times New Roman" w:eastAsia="Times New Roman" w:hAnsi="Times New Roman"/>
          <w:sz w:val="14"/>
          <w:szCs w:val="14"/>
          <w:color w:val="auto"/>
        </w:rPr>
      </w:pPr>
    </w:p>
    <w:p>
      <w:pPr>
        <w:ind w:left="4440" w:right="459" w:hanging="3787"/>
        <w:spacing w:after="0" w:line="452" w:lineRule="auto"/>
        <w:tabs>
          <w:tab w:leader="none" w:pos="99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under the Indenture shall have happened and be continuing, and 19</w:t>
      </w:r>
    </w:p>
    <w:p>
      <w:pPr>
        <w:sectPr>
          <w:pgSz w:w="11900" w:h="16838" w:orient="portrait"/>
          <w:cols w:equalWidth="0" w:num="1">
            <w:col w:w="9019"/>
          </w:cols>
          <w:pgMar w:left="1440" w:top="240" w:right="1440" w:bottom="1440" w:gutter="0" w:footer="0" w:header="0"/>
        </w:sectPr>
      </w:pPr>
    </w:p>
    <w:bookmarkStart w:id="57" w:name="page58"/>
    <w:bookmarkEnd w:id="57"/>
    <w:p>
      <w:pPr>
        <w:ind w:left="980" w:right="339" w:hanging="327"/>
        <w:spacing w:after="0" w:line="260" w:lineRule="auto"/>
        <w:tabs>
          <w:tab w:leader="none" w:pos="9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as a result of any such consolidation or merger or such conveyance, transfer or lease, any Principal Property of McCormick would become subject to a Lien that would not be permitted by the Indenture, we or such successor Person takes such steps as are necessary effectively to secure the Debt Securities equally and ratably with (or, at our option, prior to) all indebtedness secured thereby. (Section 8.1 of the Indenture).</w:t>
      </w:r>
    </w:p>
    <w:p>
      <w:pPr>
        <w:spacing w:after="0" w:line="140" w:lineRule="exact"/>
        <w:rPr>
          <w:sz w:val="20"/>
          <w:szCs w:val="20"/>
          <w:color w:val="auto"/>
        </w:rPr>
      </w:pPr>
    </w:p>
    <w:p>
      <w:pPr>
        <w:ind w:left="240" w:right="719" w:firstLine="341"/>
        <w:spacing w:after="0" w:line="281" w:lineRule="auto"/>
        <w:rPr>
          <w:sz w:val="20"/>
          <w:szCs w:val="20"/>
          <w:color w:val="auto"/>
        </w:rPr>
      </w:pPr>
      <w:r>
        <w:rPr>
          <w:rFonts w:ascii="Times New Roman" w:cs="Times New Roman" w:eastAsia="Times New Roman" w:hAnsi="Times New Roman"/>
          <w:sz w:val="14"/>
          <w:szCs w:val="14"/>
          <w:color w:val="auto"/>
        </w:rPr>
        <w:t>Except as described above, the Indenture does not contain any provisions that would afford holders of the Debt Securities protection in the event of:</w:t>
      </w:r>
    </w:p>
    <w:p>
      <w:pPr>
        <w:spacing w:after="0" w:line="52" w:lineRule="exact"/>
        <w:rPr>
          <w:sz w:val="20"/>
          <w:szCs w:val="20"/>
          <w:color w:val="auto"/>
        </w:rPr>
      </w:pPr>
    </w:p>
    <w:p>
      <w:pPr>
        <w:ind w:left="980" w:hanging="327"/>
        <w:spacing w:after="0"/>
        <w:tabs>
          <w:tab w:leader="none" w:pos="9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highly leveraged or similar transaction involving us;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control or a change in our management; 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reorganization, restructuring, merger or similar transaction involving us that may adversely affect the holders of the Debt Securities.</w:t>
      </w:r>
    </w:p>
    <w:p>
      <w:pPr>
        <w:spacing w:after="0" w:line="174" w:lineRule="exact"/>
        <w:rPr>
          <w:sz w:val="20"/>
          <w:szCs w:val="20"/>
          <w:color w:val="auto"/>
        </w:rPr>
      </w:pPr>
    </w:p>
    <w:p>
      <w:pPr>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In addition, subject to the limitations set forth above, we may, in the future, enter into certain transactions such as the sale of our properties and assets substantially as an entirety or a merger or consolidation with another entity that could increase the amount of our indebtedness or otherwise adversely affect our financial condition or results of operations, which may have an adverse effect on our ability to service our indebtedness, including the Debt Securities. We have no present intention of engaging in a highly leveraged or similar transaction involving us.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An Event of Default with respect to a series of the Debt Securities is defined in the Indenture as being:</w:t>
      </w:r>
    </w:p>
    <w:p>
      <w:pPr>
        <w:spacing w:after="0" w:line="101" w:lineRule="exact"/>
        <w:rPr>
          <w:sz w:val="20"/>
          <w:szCs w:val="20"/>
          <w:color w:val="auto"/>
        </w:rPr>
      </w:pPr>
    </w:p>
    <w:p>
      <w:pPr>
        <w:ind w:left="980" w:right="419" w:hanging="411"/>
        <w:spacing w:after="0" w:line="281" w:lineRule="auto"/>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the Debt Securities of that series when it becomes due and payable and the continuance of such default for a period of 30 days;</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principal of (or premium, if any, on) the Debt Securities of that series at its maturity;</w:t>
      </w:r>
    </w:p>
    <w:p>
      <w:pPr>
        <w:spacing w:after="0" w:line="100" w:lineRule="exact"/>
        <w:rPr>
          <w:rFonts w:ascii="Times New Roman" w:cs="Times New Roman" w:eastAsia="Times New Roman" w:hAnsi="Times New Roman"/>
          <w:sz w:val="14"/>
          <w:szCs w:val="14"/>
          <w:color w:val="auto"/>
        </w:rPr>
      </w:pPr>
    </w:p>
    <w:p>
      <w:pPr>
        <w:ind w:left="980" w:right="299" w:hanging="411"/>
        <w:spacing w:after="0" w:line="260" w:lineRule="auto"/>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agreement in the Indenture included therein for the benefit of such series of Debt Securities and the continuance of such default or breach for a period of 90 days after written notice of such default or breach to McCormick by the Trustee or to McCormick and the Trustee by the holders of at least 25% in aggregate principal amount of such series of Debt Securities;</w:t>
      </w:r>
    </w:p>
    <w:p>
      <w:pPr>
        <w:spacing w:after="0" w:line="66"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McCormick; or</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specified for a series Debt Securities in the applicable prospectus supplement. (Section 5.1 of the Indenture).</w:t>
      </w:r>
    </w:p>
    <w:p>
      <w:pPr>
        <w:spacing w:after="0" w:line="174"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The Indenture provides that if an Event of Default under clause (i), (ii), (iii) or (v) above shall have occurred and be continuing, either the Trustee or the holders of not less than 25% in principal amount of the Debt Securities of a series may declare the principal of all the Debt Securities of such series, together with any accrued interest, to be due and payable immediately. (Section 5.2 of the Indenture). If an Event of Default under clause (iv) above shall have occurred and be continuing, then the principal of all the Debt Securities, together with any accrued interest, will be due and payable immediately without any declaration or other act on the part of the Trustee or any holder of a Debt Security. Upon certain conditions such declaration (including a declaration caused by a default in the payment of principal or interest, the payment for which has subsequently been provided) may be annulled by the holders of a majority in principal amount of the Debt Securities. (Sections 5.2 and 5.13 of the Indenture).</w:t>
      </w:r>
    </w:p>
    <w:p>
      <w:pPr>
        <w:spacing w:after="0" w:line="147"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In addition, prior to the declaration of the acceleration of the maturity of a series of Debt Securities, past defaults may be waived by the holders of a majority in principal amount of such series of Debt Securities, except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58" w:name="page59"/>
    <w:bookmarkEnd w:id="58"/>
    <w:p>
      <w:pPr>
        <w:ind w:left="240" w:right="69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default in the payment of principal of or interest on any Debt Security or in respect of a covenant or provision of the Indenture which cannot be modified or amended without the approval of each affected holder of such Debt Securities. (Sections 5.2 and 5.13 of the Indenture).</w:t>
      </w:r>
    </w:p>
    <w:p>
      <w:pPr>
        <w:spacing w:after="0" w:line="125"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The Indenture contains a provision entitling the Trustee, subject to the duty of the Trustee during default to act with the required standard of care, to be indemnified by the holders of Debt Securities issued thereunder before proceeding to exercise any right or power under the Indenture at the request of the holders of such Debt Securities. (Section 6.3 of the Indenture).</w:t>
      </w:r>
    </w:p>
    <w:p>
      <w:pPr>
        <w:spacing w:after="0" w:line="136" w:lineRule="exact"/>
        <w:rPr>
          <w:sz w:val="20"/>
          <w:szCs w:val="20"/>
          <w:color w:val="auto"/>
        </w:rPr>
      </w:pPr>
    </w:p>
    <w:p>
      <w:pPr>
        <w:jc w:val="both"/>
        <w:ind w:left="240" w:right="259" w:firstLine="341"/>
        <w:spacing w:after="0" w:line="295" w:lineRule="auto"/>
        <w:rPr>
          <w:sz w:val="20"/>
          <w:szCs w:val="20"/>
          <w:color w:val="auto"/>
        </w:rPr>
      </w:pPr>
      <w:r>
        <w:rPr>
          <w:rFonts w:ascii="Times New Roman" w:cs="Times New Roman" w:eastAsia="Times New Roman" w:hAnsi="Times New Roman"/>
          <w:sz w:val="13"/>
          <w:szCs w:val="13"/>
          <w:color w:val="auto"/>
        </w:rPr>
        <w:t>The Indenture also provides that the holders of a majority in principal amount of the Outstanding Securities of a particular series issued thereunder and affected (each series voting as a separate class) may direct the time, method and place of conducting any proceeding for any remedy available to the Trustee, or exercising any trust or power conferred on the Trustee, with respect to the Debt Securities of such series. (Section 5.12 of the Indenture).</w:t>
      </w:r>
    </w:p>
    <w:p>
      <w:pPr>
        <w:spacing w:after="0" w:line="118"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The Indenture contains a covenant that McCormick will file annually with the Trustee a certificate as to the absence of any default or specifying any default that exists. (Section 10.9 of the Indenture).</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92" w:lineRule="exact"/>
        <w:rPr>
          <w:sz w:val="20"/>
          <w:szCs w:val="20"/>
          <w:color w:val="auto"/>
        </w:rPr>
      </w:pPr>
    </w:p>
    <w:p>
      <w:pPr>
        <w:ind w:left="240" w:right="779" w:firstLine="341"/>
        <w:spacing w:after="0" w:line="281" w:lineRule="auto"/>
        <w:rPr>
          <w:sz w:val="20"/>
          <w:szCs w:val="20"/>
          <w:color w:val="auto"/>
        </w:rPr>
      </w:pPr>
      <w:r>
        <w:rPr>
          <w:rFonts w:ascii="Times New Roman" w:cs="Times New Roman" w:eastAsia="Times New Roman" w:hAnsi="Times New Roman"/>
          <w:sz w:val="14"/>
          <w:szCs w:val="14"/>
          <w:color w:val="auto"/>
        </w:rPr>
        <w:t>“Attributable Debt” with respect to any sale leaseback transaction that is subject to the restrictions described under “Certain Covenants— Limitations on Sale and Leaseback” means the lesser of:</w:t>
      </w:r>
    </w:p>
    <w:p>
      <w:pPr>
        <w:spacing w:after="0" w:line="52" w:lineRule="exact"/>
        <w:rPr>
          <w:sz w:val="20"/>
          <w:szCs w:val="20"/>
          <w:color w:val="auto"/>
        </w:rPr>
      </w:pPr>
    </w:p>
    <w:p>
      <w:pPr>
        <w:ind w:left="980" w:right="399" w:hanging="327"/>
        <w:spacing w:after="0" w:line="260" w:lineRule="auto"/>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net amount of rent required to be paid during the remaining base term of the related lease or until the earliest date on which the lessee may terminate such lease upon payment of a penalty or a lump-sum termination payment (in which case the total net rent shall include such penalty or termination payment), discounted at the weighted average interest rate borne by the Outstanding Securities under the Indenture, compounded semi-annually, or</w:t>
      </w:r>
    </w:p>
    <w:p>
      <w:pPr>
        <w:spacing w:after="0" w:line="66" w:lineRule="exact"/>
        <w:rPr>
          <w:rFonts w:ascii="Times New Roman" w:cs="Times New Roman" w:eastAsia="Times New Roman" w:hAnsi="Times New Roman"/>
          <w:sz w:val="14"/>
          <w:szCs w:val="14"/>
          <w:color w:val="auto"/>
        </w:rPr>
      </w:pPr>
    </w:p>
    <w:p>
      <w:pPr>
        <w:ind w:left="980" w:right="339" w:hanging="327"/>
        <w:spacing w:after="0" w:line="281" w:lineRule="auto"/>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price of the property so leased multiplied by a fraction, the numerator of which is the remaining base term of the related lease and the denominator of which is the base term of such lease.</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“Consolidated Net Tangible Assets” means the total assets of McCormick and its consolidated subsidiaries, including the investment in (at equity)</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and the net amount of advances to and accounts receivable from corporations which are not consolidated subsidiaries less the following:</w:t>
      </w:r>
    </w:p>
    <w:p>
      <w:pPr>
        <w:spacing w:after="0" w:line="86" w:lineRule="exact"/>
        <w:rPr>
          <w:sz w:val="20"/>
          <w:szCs w:val="20"/>
          <w:color w:val="auto"/>
        </w:rPr>
      </w:pPr>
    </w:p>
    <w:p>
      <w:pPr>
        <w:ind w:left="980" w:right="379" w:hanging="327"/>
        <w:spacing w:after="0" w:line="281"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liabilities of McCormick and its consolidated subsidiaries, including an amount equal to indebtedness required to be redeemed by reason of any sinking fund payment due in 12 months or less from the date as of which current liabilities are to be determined;</w:t>
      </w:r>
    </w:p>
    <w:p>
      <w:pPr>
        <w:spacing w:after="0" w:line="52" w:lineRule="exact"/>
        <w:rPr>
          <w:rFonts w:ascii="Times New Roman" w:cs="Times New Roman" w:eastAsia="Times New Roman" w:hAnsi="Times New Roman"/>
          <w:sz w:val="14"/>
          <w:szCs w:val="14"/>
          <w:color w:val="auto"/>
        </w:rPr>
      </w:pPr>
    </w:p>
    <w:p>
      <w:pPr>
        <w:ind w:left="980" w:right="339" w:hanging="327"/>
        <w:spacing w:after="0" w:line="321" w:lineRule="auto"/>
        <w:tabs>
          <w:tab w:leader="none" w:pos="9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liabilities of McCormick and its consolidated subsidiaries other than Funded Debt, deferred income taxes and liabilities for employee post-retirement health plans other than pensions recognized in accordance with Accounting Standards Codification No. 715-60;</w:t>
      </w:r>
    </w:p>
    <w:p>
      <w:pPr>
        <w:spacing w:after="0" w:line="29" w:lineRule="exact"/>
        <w:rPr>
          <w:rFonts w:ascii="Times New Roman" w:cs="Times New Roman" w:eastAsia="Times New Roman" w:hAnsi="Times New Roman"/>
          <w:sz w:val="13"/>
          <w:szCs w:val="13"/>
          <w:color w:val="auto"/>
        </w:rPr>
      </w:pPr>
    </w:p>
    <w:p>
      <w:pPr>
        <w:ind w:left="980" w:right="419" w:hanging="327"/>
        <w:spacing w:after="0" w:line="281"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depreciation and valuation reserves and all other reserves (except for reserves for contingencies which have not been allocated to any particular purpose) of McCormick and its consolidated subsidiaries;</w:t>
      </w:r>
    </w:p>
    <w:p>
      <w:pPr>
        <w:spacing w:after="0" w:line="52" w:lineRule="exact"/>
        <w:rPr>
          <w:rFonts w:ascii="Times New Roman" w:cs="Times New Roman" w:eastAsia="Times New Roman" w:hAnsi="Times New Roman"/>
          <w:sz w:val="14"/>
          <w:szCs w:val="14"/>
          <w:color w:val="auto"/>
        </w:rPr>
      </w:pPr>
    </w:p>
    <w:p>
      <w:pPr>
        <w:ind w:left="980" w:right="279" w:hanging="327"/>
        <w:spacing w:after="0" w:line="281"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 amount of all segregated intangible assets of McCormick and its consolidated subsidiaries, including, but without limitation, such items as goodwill, trademarks, trade names, patents and unamortized debt discount and expense less unamortized debt premium; and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adjustments on account of minority interests of other persons holding stock in subsidiaries.</w:t>
      </w:r>
    </w:p>
    <w:p>
      <w:pPr>
        <w:spacing w:after="0" w:line="174" w:lineRule="exact"/>
        <w:rPr>
          <w:sz w:val="20"/>
          <w:szCs w:val="20"/>
          <w:color w:val="auto"/>
        </w:rPr>
      </w:pPr>
    </w:p>
    <w:p>
      <w:pPr>
        <w:jc w:val="center"/>
        <w:ind w:left="240" w:right="319"/>
        <w:spacing w:after="0" w:line="452" w:lineRule="auto"/>
        <w:rPr>
          <w:sz w:val="20"/>
          <w:szCs w:val="20"/>
          <w:color w:val="auto"/>
        </w:rPr>
      </w:pPr>
      <w:r>
        <w:rPr>
          <w:rFonts w:ascii="Times New Roman" w:cs="Times New Roman" w:eastAsia="Times New Roman" w:hAnsi="Times New Roman"/>
          <w:sz w:val="14"/>
          <w:szCs w:val="14"/>
          <w:color w:val="auto"/>
        </w:rPr>
        <w:t>Consolidated Net Tangible Assets shall be determined on a consolidated basis in accordance with generally accepted accounting principles. 21</w:t>
      </w:r>
    </w:p>
    <w:p>
      <w:pPr>
        <w:sectPr>
          <w:pgSz w:w="11900" w:h="16838" w:orient="portrait"/>
          <w:cols w:equalWidth="0" w:num="1">
            <w:col w:w="9019"/>
          </w:cols>
          <w:pgMar w:left="1440" w:top="240" w:right="1440" w:bottom="1440" w:gutter="0" w:footer="0" w:header="0"/>
        </w:sectPr>
      </w:pPr>
    </w:p>
    <w:bookmarkStart w:id="59" w:name="page60"/>
    <w:bookmarkEnd w:id="59"/>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“Funded Debt” means any indebtedness of McCormick or a Restricted Subsidiary (other than inter-company debt that is eliminated in consolidation) for borrowed money having a maturity of more than 12 months from the date such indebtedness was incurred or having a maturity of less than 12 months but by its terms being renewable or extendable beyond 12 months from the date such indebtedness was incurred at the option of the obligor.</w:t>
      </w:r>
    </w:p>
    <w:p>
      <w:pPr>
        <w:spacing w:after="0" w:line="140" w:lineRule="exact"/>
        <w:rPr>
          <w:sz w:val="20"/>
          <w:szCs w:val="20"/>
          <w:color w:val="auto"/>
        </w:rPr>
      </w:pPr>
    </w:p>
    <w:p>
      <w:pPr>
        <w:ind w:left="240" w:right="819" w:firstLine="341"/>
        <w:spacing w:after="0" w:line="281" w:lineRule="auto"/>
        <w:rPr>
          <w:sz w:val="20"/>
          <w:szCs w:val="20"/>
          <w:color w:val="auto"/>
        </w:rPr>
      </w:pPr>
      <w:r>
        <w:rPr>
          <w:rFonts w:ascii="Times New Roman" w:cs="Times New Roman" w:eastAsia="Times New Roman" w:hAnsi="Times New Roman"/>
          <w:sz w:val="14"/>
          <w:szCs w:val="14"/>
          <w:color w:val="auto"/>
        </w:rPr>
        <w:t>“Person” means any individual, corporation, partnership, limited liability company, joint venture, association, joint stock company, trust, unincorporated organization or government or any agency or political subdivision thereof.</w:t>
      </w:r>
    </w:p>
    <w:p>
      <w:pPr>
        <w:spacing w:after="0" w:line="125" w:lineRule="exact"/>
        <w:rPr>
          <w:sz w:val="20"/>
          <w:szCs w:val="20"/>
          <w:color w:val="auto"/>
        </w:rPr>
      </w:pPr>
    </w:p>
    <w:p>
      <w:pPr>
        <w:ind w:left="240" w:right="299" w:firstLine="341"/>
        <w:spacing w:after="0" w:line="279" w:lineRule="auto"/>
        <w:rPr>
          <w:sz w:val="20"/>
          <w:szCs w:val="20"/>
          <w:color w:val="auto"/>
        </w:rPr>
      </w:pPr>
      <w:r>
        <w:rPr>
          <w:rFonts w:ascii="Times New Roman" w:cs="Times New Roman" w:eastAsia="Times New Roman" w:hAnsi="Times New Roman"/>
          <w:sz w:val="13"/>
          <w:szCs w:val="13"/>
          <w:color w:val="auto"/>
        </w:rPr>
        <w:t>“Principal Property” means any manufacturing or processing plant or warehouse, together with the land upon which it is erected and any fixtures and equipment comprising a part thereof, owned by McCormick or any Restricted Subsidiary and located in the United States, the book value (net of depreciation) of which on the date as of which the determination is being made is an amount which exceeds 1% of Consolidated Net Tangible Assets, other than any such manufacturing or processing plant or warehouse or any portion thereof or any such fixture or equipment (together with the land upon which it is erected and any fixtures and equipment comprising a part thereof) (i) which is financed by Industrial Development Bonds or (ii) which, in the opinion of our board of directors, is not of material importance to the total business conducted by us and our Subsidiaries, taken as a whole.</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“Restricted Subsidiary” means any Subsidiary that owns, operates or leases one or more Principal Properties.</w:t>
      </w:r>
    </w:p>
    <w:p>
      <w:pPr>
        <w:spacing w:after="0" w:line="174"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“Subsidiary” means each corporation of which we, or we and one or more Subsidiaries, or any one or more Subsidiaries, directly or indirectly own securities entitling the holders thereof to elect a majority of the directors, either at all times or so long as there is no default or contingency that permits the holders of any other class or classes of securities to vote for the election of one or more directors.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2" w:lineRule="exact"/>
        <w:rPr>
          <w:sz w:val="20"/>
          <w:szCs w:val="20"/>
          <w:color w:val="auto"/>
        </w:rPr>
      </w:pPr>
    </w:p>
    <w:p>
      <w:pPr>
        <w:ind w:left="240" w:right="239" w:firstLine="341"/>
        <w:spacing w:after="0" w:line="257" w:lineRule="auto"/>
        <w:rPr>
          <w:sz w:val="20"/>
          <w:szCs w:val="20"/>
          <w:color w:val="auto"/>
        </w:rPr>
      </w:pPr>
      <w:r>
        <w:rPr>
          <w:rFonts w:ascii="Times New Roman" w:cs="Times New Roman" w:eastAsia="Times New Roman" w:hAnsi="Times New Roman"/>
          <w:sz w:val="14"/>
          <w:szCs w:val="14"/>
          <w:color w:val="auto"/>
        </w:rPr>
        <w:t>McCormick shall be deemed to have satisfied and discharged the entire indebtedness on all the Debt Securities of any particular series (i) that have become due and payable, (ii) that by their terms are to become due and payable at their Stated Maturity within one year or are to be called for redemption within one year under arrangements satisfactory to the Trustee for the Securities of such series, or (iii) in certain other circumstances as specified at the time a particular series of Debt Securities is established in accordance with the Indenture, and, so long as no Event of Default shall be continuing, when:</w:t>
      </w:r>
    </w:p>
    <w:p>
      <w:pPr>
        <w:spacing w:after="0" w:line="69" w:lineRule="exact"/>
        <w:rPr>
          <w:sz w:val="20"/>
          <w:szCs w:val="20"/>
          <w:color w:val="auto"/>
        </w:rPr>
      </w:pPr>
    </w:p>
    <w:p>
      <w:pPr>
        <w:ind w:left="980" w:hanging="327"/>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0" w:lineRule="exact"/>
        <w:rPr>
          <w:rFonts w:ascii="Times New Roman" w:cs="Times New Roman" w:eastAsia="Times New Roman" w:hAnsi="Times New Roman"/>
          <w:sz w:val="14"/>
          <w:szCs w:val="14"/>
          <w:color w:val="auto"/>
        </w:rPr>
      </w:pPr>
    </w:p>
    <w:p>
      <w:pPr>
        <w:ind w:left="1340" w:right="399" w:hanging="258"/>
        <w:spacing w:after="0" w:line="281" w:lineRule="auto"/>
        <w:tabs>
          <w:tab w:leader="none" w:pos="13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such series theretofore authenticated and delivered (except destroyed, lost or stolen Debt Securities that have been replaced or paid) have been delivered to the Trustee for cancellation, or</w:t>
      </w:r>
    </w:p>
    <w:p>
      <w:pPr>
        <w:spacing w:after="0" w:line="52" w:lineRule="exact"/>
        <w:rPr>
          <w:rFonts w:ascii="Times New Roman" w:cs="Times New Roman" w:eastAsia="Times New Roman" w:hAnsi="Times New Roman"/>
          <w:sz w:val="14"/>
          <w:szCs w:val="14"/>
          <w:color w:val="auto"/>
        </w:rPr>
      </w:pPr>
    </w:p>
    <w:p>
      <w:pPr>
        <w:jc w:val="both"/>
        <w:ind w:left="1340" w:right="339" w:hanging="258"/>
        <w:spacing w:after="0" w:line="260" w:lineRule="auto"/>
        <w:tabs>
          <w:tab w:leader="none" w:pos="13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all Debt Securities of such series not theretofore delivered to the Trustee for cancellation, McCormick has deposited or caused to be deposited with the Trustee funds or Government Obligations, or any combination thereof, in an amount sufficient to pay and discharge the entire indebtedness on the Debt Securities not theretofore delivered to the Trustee for cancellation, for unpaid principal and interest to maturity;</w:t>
      </w:r>
    </w:p>
    <w:p>
      <w:pPr>
        <w:spacing w:after="0" w:line="66"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McCormick has paid all other sums payable by it under the Indenture with respect to the Debt Securities of such series;</w:t>
      </w:r>
    </w:p>
    <w:p>
      <w:pPr>
        <w:spacing w:after="0" w:line="100" w:lineRule="exact"/>
        <w:rPr>
          <w:rFonts w:ascii="Times New Roman" w:cs="Times New Roman" w:eastAsia="Times New Roman" w:hAnsi="Times New Roman"/>
          <w:sz w:val="14"/>
          <w:szCs w:val="14"/>
          <w:color w:val="auto"/>
        </w:rPr>
      </w:pPr>
    </w:p>
    <w:p>
      <w:pPr>
        <w:ind w:left="980" w:right="379" w:hanging="327"/>
        <w:spacing w:after="0" w:line="265" w:lineRule="auto"/>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McCormick has delivered to the Trustee an officers’ certificate and an opinion of counsel each stating that all conditions precedent under the Indenture to the satisfaction and discharge of the entire indebtedness of the Debt Securities of such series under the Indenture have been complied with;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60" w:name="page61"/>
    <w:bookmarkEnd w:id="60"/>
    <w:p>
      <w:pPr>
        <w:ind w:left="980" w:right="259" w:hanging="327"/>
        <w:spacing w:after="0" w:line="254" w:lineRule="auto"/>
        <w:tabs>
          <w:tab w:leader="none" w:pos="9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Debt Securities of such series are not to become due and payable at their Stated Maturity within one year of the date of such deposit or are not to be called for redemption within one year of the date of such deposit under arrangements satisfactory to such Trustee as of the date of such deposit, we have delivered to the Trustee an opinion of counsel based on the fact that (x) we have received from, or there has been published by, the Internal Revenue Service a ruling or (y) since the date of the Indenture, there has been a change in the applicable U.S. federal income tax law, to the effect that the holders of the Debt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 (Article IV of the Indenture).</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Covenant Defeasance</w:t>
      </w:r>
    </w:p>
    <w:p>
      <w:pPr>
        <w:spacing w:after="0" w:line="92" w:lineRule="exact"/>
        <w:rPr>
          <w:sz w:val="20"/>
          <w:szCs w:val="20"/>
          <w:color w:val="auto"/>
        </w:rPr>
      </w:pPr>
    </w:p>
    <w:p>
      <w:pPr>
        <w:ind w:left="240" w:right="519" w:firstLine="341"/>
        <w:spacing w:after="0" w:line="281" w:lineRule="auto"/>
        <w:rPr>
          <w:sz w:val="20"/>
          <w:szCs w:val="20"/>
          <w:color w:val="auto"/>
        </w:rPr>
      </w:pPr>
      <w:r>
        <w:rPr>
          <w:rFonts w:ascii="Times New Roman" w:cs="Times New Roman" w:eastAsia="Times New Roman" w:hAnsi="Times New Roman"/>
          <w:sz w:val="14"/>
          <w:szCs w:val="14"/>
          <w:color w:val="auto"/>
        </w:rPr>
        <w:t>The terms of the Debt Securities provide that McCormick need not comply with certain restrictive covenants of the Indenture (including those described above under “—Certain Covenants”) with respect to a series of Debt Securities if, among other things:</w:t>
      </w:r>
    </w:p>
    <w:p>
      <w:pPr>
        <w:spacing w:after="0" w:line="52" w:lineRule="exact"/>
        <w:rPr>
          <w:sz w:val="20"/>
          <w:szCs w:val="20"/>
          <w:color w:val="auto"/>
        </w:rPr>
      </w:pPr>
    </w:p>
    <w:p>
      <w:pPr>
        <w:ind w:left="980" w:right="459" w:hanging="327"/>
        <w:spacing w:after="0" w:line="295" w:lineRule="auto"/>
        <w:tabs>
          <w:tab w:leader="none" w:pos="9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McCormick deposits in trust with the Trustee cash in the currency or currency unit in which the Debt Securities of such series are payable or Government Obligations, which through the payment of interest thereon and principal thereof in accordance with their terms will provide money, in an amount sufficient to pay all the principal of and interest on the Debt Securities of such series when due;</w:t>
      </w:r>
    </w:p>
    <w:p>
      <w:pPr>
        <w:spacing w:after="0" w:line="45" w:lineRule="exact"/>
        <w:rPr>
          <w:rFonts w:ascii="Times New Roman" w:cs="Times New Roman" w:eastAsia="Times New Roman" w:hAnsi="Times New Roman"/>
          <w:sz w:val="13"/>
          <w:szCs w:val="13"/>
          <w:color w:val="auto"/>
        </w:rPr>
      </w:pPr>
    </w:p>
    <w:p>
      <w:pPr>
        <w:ind w:left="980" w:right="379" w:hanging="327"/>
        <w:spacing w:after="0" w:line="281" w:lineRule="auto"/>
        <w:tabs>
          <w:tab w:leader="none" w:pos="9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McCormick has delivered to the Trustee an officers’ certificate and an opinion of counsel each stating that all conditions precedent under the Indenture relating to the contemplated covenant defeasance have been complied with; and</w:t>
      </w:r>
    </w:p>
    <w:p>
      <w:pPr>
        <w:spacing w:after="0" w:line="52" w:lineRule="exact"/>
        <w:rPr>
          <w:rFonts w:ascii="Times New Roman" w:cs="Times New Roman" w:eastAsia="Times New Roman" w:hAnsi="Times New Roman"/>
          <w:sz w:val="14"/>
          <w:szCs w:val="14"/>
          <w:color w:val="auto"/>
        </w:rPr>
      </w:pPr>
    </w:p>
    <w:p>
      <w:pPr>
        <w:ind w:left="980" w:right="259" w:hanging="327"/>
        <w:spacing w:after="0" w:line="255" w:lineRule="auto"/>
        <w:tabs>
          <w:tab w:leader="none" w:pos="9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such series are not to become due and payable at their Stated Maturity within one year of the date of such deposit or are not to be called for redemption within one year of the date of such deposit under arrangements satisfactory to such Trustee as of the date of such deposit, we have delivered to the Trustee, not later than the date of such deposit, an opinion of counsel confirming that the holders of the Debt Securities of such series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(Section 10.11 of the Indenture).</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2" w:lineRule="exact"/>
        <w:rPr>
          <w:sz w:val="20"/>
          <w:szCs w:val="20"/>
          <w:color w:val="auto"/>
        </w:rPr>
      </w:pPr>
    </w:p>
    <w:p>
      <w:pPr>
        <w:ind w:left="240" w:right="439" w:firstLine="341"/>
        <w:spacing w:after="0" w:line="281" w:lineRule="auto"/>
        <w:rPr>
          <w:sz w:val="20"/>
          <w:szCs w:val="20"/>
          <w:color w:val="auto"/>
        </w:rPr>
      </w:pPr>
      <w:r>
        <w:rPr>
          <w:rFonts w:ascii="Times New Roman" w:cs="Times New Roman" w:eastAsia="Times New Roman" w:hAnsi="Times New Roman"/>
          <w:sz w:val="14"/>
          <w:szCs w:val="14"/>
          <w:color w:val="auto"/>
        </w:rPr>
        <w:t>Without the consent of any holder of the Debt Securities, McCormick and the Trustee may modify or amend the Indenture to clarify or to make certain other changes that would not adversely affect the legal rights of any holder. (Section 9.1 of the Indenture).</w:t>
      </w:r>
    </w:p>
    <w:p>
      <w:pPr>
        <w:spacing w:after="0" w:line="125"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With the consent of the holders of not less than a majority in aggregate principal amount of the outstanding Debt Securities of the particular series affected, McCormick and the Trustee may modify or amend the Indenture; provided, however, that no such modification or amendment may, without the consent of the holder of each Debt Security:</w:t>
      </w:r>
    </w:p>
    <w:p>
      <w:pPr>
        <w:spacing w:after="0" w:line="63" w:lineRule="exact"/>
        <w:rPr>
          <w:sz w:val="20"/>
          <w:szCs w:val="20"/>
          <w:color w:val="auto"/>
        </w:rPr>
      </w:pPr>
    </w:p>
    <w:p>
      <w:pPr>
        <w:jc w:val="both"/>
        <w:ind w:left="980" w:right="279" w:hanging="327"/>
        <w:spacing w:after="0" w:line="265" w:lineRule="auto"/>
        <w:tabs>
          <w:tab w:leader="none" w:pos="9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interest on, any Debt Security or reduce the principal amount thereof or the rate of interest thereon, or change the coin or currency in which any Debt Security or the interest thereon is payable, or impair the right to institute suit for the enforcement of any such payment after the stated maturity thereof;</w:t>
      </w:r>
    </w:p>
    <w:p>
      <w:pPr>
        <w:spacing w:after="0" w:line="63" w:lineRule="exact"/>
        <w:rPr>
          <w:rFonts w:ascii="Times New Roman" w:cs="Times New Roman" w:eastAsia="Times New Roman" w:hAnsi="Times New Roman"/>
          <w:sz w:val="14"/>
          <w:szCs w:val="14"/>
          <w:color w:val="auto"/>
        </w:rPr>
      </w:pPr>
    </w:p>
    <w:p>
      <w:pPr>
        <w:ind w:left="980" w:right="519" w:hanging="327"/>
        <w:spacing w:after="0" w:line="281" w:lineRule="auto"/>
        <w:tabs>
          <w:tab w:leader="none" w:pos="9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necessary to waive compliance with certain provisions of the Indenture or to waive certain defaults; or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61" w:name="page62"/>
    <w:bookmarkEnd w:id="61"/>
    <w:p>
      <w:pPr>
        <w:ind w:left="980" w:right="319" w:hanging="327"/>
        <w:spacing w:after="0" w:line="260" w:lineRule="auto"/>
        <w:tabs>
          <w:tab w:leader="none" w:pos="9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modify any of the provisions relating to supplemental indentures requiring the consent of holders or relating to the waiver of past defaults or relating to the waiver of certain covenants, except to increase the percentage of outstanding Debt Securities required for such actions or to provide that certain other provisions of the Indenture cannot be modified or waived without the consent of the holder of each Debt Security. (Section 9.2 of the Indenture).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BOOK-ENTRY SECURITIES</w:t>
      </w:r>
    </w:p>
    <w:p>
      <w:pPr>
        <w:spacing w:after="0" w:line="176"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The Debt Securities of a series may be issued in whole or in part in the form of one or more global securities (the “Global Securities”) which will be deposited with, or on behalf of, The Depository Trust Company (the “Depositary”) and registered in the name of the Depositary’s nominee. Except as set forth below, the Global Securities may be transferred, in whole and not in part, only to another nominee of the Depositary or to a successor of the Depositary or its nominee. The following description of the operations and procedures of the Depositary is provided solely as a matter of convenience. These operations and procedures are solely within the control of the Depositary and are subject to changes by it.</w:t>
      </w:r>
    </w:p>
    <w:p>
      <w:pPr>
        <w:spacing w:after="0" w:line="143"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The Depositary has advised us that it is a limited-purpose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The Depositary was created to hold securities for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Depositary’s participants include securities brokers and dealers, banks, trust companies, clearing corporations and certain other organizations, some of which (and/or their representatives) own the Depositary. Access to the Depositary’s book-entry system is also available to others, such as banks, brokers, dealers and trust companies that clear through or maintain a custodial relationship with a participant, either directly or indirectly. Persons who are not participants may beneficially own securities held by the Depositary only through participants.</w:t>
      </w:r>
    </w:p>
    <w:p>
      <w:pPr>
        <w:spacing w:after="0" w:line="147" w:lineRule="exact"/>
        <w:rPr>
          <w:sz w:val="20"/>
          <w:szCs w:val="20"/>
          <w:color w:val="auto"/>
        </w:rPr>
      </w:pPr>
    </w:p>
    <w:p>
      <w:pPr>
        <w:ind w:left="240" w:right="339" w:firstLine="341"/>
        <w:spacing w:after="0" w:line="254" w:lineRule="auto"/>
        <w:rPr>
          <w:sz w:val="20"/>
          <w:szCs w:val="20"/>
          <w:color w:val="auto"/>
        </w:rPr>
      </w:pPr>
      <w:r>
        <w:rPr>
          <w:rFonts w:ascii="Times New Roman" w:cs="Times New Roman" w:eastAsia="Times New Roman" w:hAnsi="Times New Roman"/>
          <w:sz w:val="14"/>
          <w:szCs w:val="14"/>
          <w:color w:val="auto"/>
        </w:rPr>
        <w:t>Upon the issuance of Debt Securities by us represented by the Global Securities, the Depositary will credit, on its book-entry registration and transfer system, the respective principal amounts of the Debt Securities represented by such Global Securities to the accounts of participants. The accounts credited shall be initially designated by the underwriters or agents. If the Depositary is at any time unwilling or unable to continue as depositary, or if at any time there shall have occurred and be continuing an Event of Default under the Indenture with respect to the Debt Securities, we will issue Debt Securities in certificated form in exchange for the Global Securities. In addition, we may at any time determine not to have Debt Securities represented by the Global Securities, and, in such event will issue Debt Securities in certificated form in exchange for the Global Securities representing such Debt Securities. In any such instance, an owner of a beneficial interest in the Global Securities will be entitled to physical delivery in certificated form of Debt Securities equal in principal amount to such beneficial interest and to have such Debt Securities registered in its name.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PLAN OF DISTRIBUTION</w:t>
      </w:r>
    </w:p>
    <w:p>
      <w:pPr>
        <w:spacing w:after="0" w:line="176"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Unless otherwise set forth in a prospectus supplement accompanying this prospectus, we may sell the Securities to or through one or more agents, underwriters and/or dealers, or directly to purchasers, or through a combination of these methods, on a continuous or delayed basis.</w:t>
      </w:r>
    </w:p>
    <w:p>
      <w:pPr>
        <w:spacing w:after="0" w:line="125" w:lineRule="exact"/>
        <w:rPr>
          <w:sz w:val="20"/>
          <w:szCs w:val="20"/>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The distribution of the Securities offered under the prospectus may occur from time to time in one or more transactions at a fixed price or prices which may be changed, at market prices prevailing at the time of sale, at prices related to such prevailing market prices or at negotiated prices.</w:t>
      </w:r>
    </w:p>
    <w:p>
      <w:pPr>
        <w:spacing w:after="0" w:line="125" w:lineRule="exact"/>
        <w:rPr>
          <w:sz w:val="20"/>
          <w:szCs w:val="20"/>
          <w:color w:val="auto"/>
        </w:rPr>
      </w:pPr>
    </w:p>
    <w:p>
      <w:pPr>
        <w:ind w:left="240" w:right="359" w:firstLine="341"/>
        <w:spacing w:after="0" w:line="254" w:lineRule="auto"/>
        <w:rPr>
          <w:sz w:val="20"/>
          <w:szCs w:val="20"/>
          <w:color w:val="auto"/>
        </w:rPr>
      </w:pPr>
      <w:r>
        <w:rPr>
          <w:rFonts w:ascii="Times New Roman" w:cs="Times New Roman" w:eastAsia="Times New Roman" w:hAnsi="Times New Roman"/>
          <w:sz w:val="14"/>
          <w:szCs w:val="14"/>
          <w:color w:val="auto"/>
        </w:rPr>
        <w:t>The Securities may also be sold in one or more of the following transactions: (i) block transactions (which may involve wall crosses) in which a broker-dealer may sell all or a portion of such shares as agent, but may position and resell all or a portion of the block as principal to facilitate the transaction; (ii) purchases by any such broker-dealer as principal, and resale by such broker-dealer for its own account pursuant to a prospectus supplement; (iii) a special offering, an exchange distribution or a secondary distribution in accordance with applicable NYSE or other stock exchange, quotation system or over-the-counter market rules; (iv) ordinary brokerage transactions and transactions in which any such broker-dealer solicits purchasers; (v) sales “at the market” to or through a market maker or into an existing trading market, on an exchange or otherwise, for such shares; and (vi) sales in other ways not involving market makers or established trading markets, including direct sales to purchasers.</w:t>
      </w:r>
    </w:p>
    <w:p>
      <w:pPr>
        <w:spacing w:after="0" w:line="147" w:lineRule="exact"/>
        <w:rPr>
          <w:sz w:val="20"/>
          <w:szCs w:val="20"/>
          <w:color w:val="auto"/>
        </w:rPr>
      </w:pPr>
    </w:p>
    <w:p>
      <w:pPr>
        <w:ind w:left="240" w:right="279" w:firstLine="341"/>
        <w:spacing w:after="0" w:line="281" w:lineRule="auto"/>
        <w:rPr>
          <w:sz w:val="20"/>
          <w:szCs w:val="20"/>
          <w:color w:val="auto"/>
        </w:rPr>
      </w:pPr>
      <w:r>
        <w:rPr>
          <w:rFonts w:ascii="Times New Roman" w:cs="Times New Roman" w:eastAsia="Times New Roman" w:hAnsi="Times New Roman"/>
          <w:sz w:val="14"/>
          <w:szCs w:val="14"/>
          <w:color w:val="auto"/>
        </w:rPr>
        <w:t>In connection with the sale of the Securities, underwriters may receive compensation from us or from purchasers of Securities for whom they may act as agents in the form of discounts, concessions or commissions.</w:t>
      </w:r>
    </w:p>
    <w:p>
      <w:pPr>
        <w:spacing w:after="0" w:line="125"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offered under the prospectus may be “underwriters” as defined in the Securities Act. Any underwriters or agents will be identified and their compensation (including underwriting discount) will be described in the applicable prospectus supplement. The prospectus supplement will also describe the other terms of the offering, including any discounts or concessions allowed or reallowed or paid to dealers and any securities exchanges on which the offered Securities may be listed.</w:t>
      </w:r>
    </w:p>
    <w:p>
      <w:pPr>
        <w:spacing w:after="0" w:line="146"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We may have agreements with the underwriters, dealers and agents to indemnify them against certain liabilities, including liabilities under the Securities Act, or to contribute with respect to payments which the underwriters, dealers or agents may be required to make as a result of those certain liabilities.</w:t>
      </w:r>
    </w:p>
    <w:p>
      <w:pPr>
        <w:spacing w:after="0" w:line="136"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In connection with an offering of the Securities, underwriters may purchase and sell the Securities in the open market. These transactions may include over-allotment, syndicate covering transactions, stabilizing transactions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short-covering transactions and penalty bids in accordance with Regulation M under the Exchange Act. An over-allotment involves sales in excess of the offering size, which create a short position. Syndicate covering transactions involve purchases of the Securities in the open market after the distribution has been completed in order to cover syndicate short positions. Stabilizing transactions permit bids to purchase the underlying Security so long as the stabilizing bids do not exceed a specified maximum. Short-covering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These activities may have the effect of raising or maintaining the market price of the Securities or preventing or slowing a decline in the market price of the Securities. As a result, the price of the Securities may be higher than the price that might otherwise exist in the open market. In addition, a penalty bid may discourage the immediate resale of the Securities sold in this offering. Neither we nor the underwriters make any representation or prediction as to the direction or magnitude of any effect that the transactions described above may have on the prices of the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64" w:name="page65"/>
    <w:bookmarkEnd w:id="64"/>
    <w:p>
      <w:pPr>
        <w:ind w:left="240" w:right="57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Securities. In addition, neither we nor the underwriters make any representation that the underwriters will engage in these transactions or that these transactions, once commenced, will not be discontinued without notice.</w:t>
      </w:r>
    </w:p>
    <w:p>
      <w:pPr>
        <w:spacing w:after="0" w:line="125" w:lineRule="exact"/>
        <w:rPr>
          <w:sz w:val="20"/>
          <w:szCs w:val="20"/>
          <w:color w:val="auto"/>
        </w:rPr>
      </w:pPr>
    </w:p>
    <w:p>
      <w:pPr>
        <w:jc w:val="center"/>
        <w:ind w:left="2020"/>
        <w:spacing w:after="0" w:line="452" w:lineRule="auto"/>
        <w:rPr>
          <w:sz w:val="20"/>
          <w:szCs w:val="20"/>
          <w:color w:val="auto"/>
        </w:rPr>
      </w:pPr>
      <w:r>
        <w:rPr>
          <w:rFonts w:ascii="Times New Roman" w:cs="Times New Roman" w:eastAsia="Times New Roman" w:hAnsi="Times New Roman"/>
          <w:sz w:val="14"/>
          <w:szCs w:val="14"/>
          <w:color w:val="auto"/>
        </w:rPr>
        <w:t>Agents, underwriters and dealers may engage in transactions with, or perform services for, us and our affiliates in the ordinary course of business. 27</w:t>
      </w:r>
    </w:p>
    <w:p>
      <w:pPr>
        <w:sectPr>
          <w:pgSz w:w="11900" w:h="16838" w:orient="portrait"/>
          <w:cols w:equalWidth="0" w:num="1">
            <w:col w:w="9019"/>
          </w:cols>
          <w:pgMar w:left="1440" w:top="240"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EXPERTS</w:t>
      </w:r>
    </w:p>
    <w:p>
      <w:pPr>
        <w:spacing w:after="0" w:line="176"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McCormick &amp; Company, Incorporated and subsidiaries appearing in McCormick &amp; Company, Incorporated’s Annual Report (Form 10-K) for the year ended November 30, 2022 (including the schedule appearing therein), and the effectiveness of McCormick &amp; Company, Incorporated’s internal control over financial reporting as of November 30, 2022,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ind w:left="240" w:right="499" w:firstLine="341"/>
        <w:spacing w:after="0" w:line="281" w:lineRule="auto"/>
        <w:rPr>
          <w:sz w:val="20"/>
          <w:szCs w:val="20"/>
          <w:color w:val="auto"/>
        </w:rPr>
      </w:pPr>
      <w:r>
        <w:rPr>
          <w:rFonts w:ascii="Times New Roman" w:cs="Times New Roman" w:eastAsia="Times New Roman" w:hAnsi="Times New Roman"/>
          <w:sz w:val="14"/>
          <w:szCs w:val="14"/>
          <w:color w:val="auto"/>
        </w:rPr>
        <w:t>Certain legal matters in connection with the Securities, including the validity of the Securities, will be passed upon for McCormick by Wilmer Cutler Pickering Hale and Dorr LLP.</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AND INCORPORATION BY REFERENCE</w:t>
      </w:r>
    </w:p>
    <w:p>
      <w:pPr>
        <w:spacing w:after="0" w:line="176"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3"/>
          <w:szCs w:val="13"/>
          <w:color w:val="auto"/>
        </w:rPr>
        <w:t>We file annual, quarterly and current reports, proxy statements and other information with the Commission. The Commission maintains a website at www.sec.gov that contains reports, proxies, information statements and other information regarding registrants, including us, that file electronically with the Commission. Our Commission filings are also available free of charge through our website at ir.mccormick.com as soon as reasonably practicable after such materials are filed with, or furnished to, the Commission. Information on or connected to our website does not constitute a part of this prospectus or any prospectus supplement and is not incorporated by reference into this prospectus or any prospectus supplement.</w:t>
      </w:r>
    </w:p>
    <w:p>
      <w:pPr>
        <w:spacing w:after="0" w:line="129"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The Commission allows us to “incorporate by reference” into this prospectus information contained in the documents we file with them, which means that we can disclose important information to you by referring you to another document filed separately with the Commission. The information incorporated by reference is an important part of this prospectus, and the information may include documents filed after the date of this prospectus which update and supersede the information you read in this prospectus. We incorporate by reference the documents listed below and any future filings we make with the Commission under Sections 13(a), 13(c), 14 or 15(d) of the Exchange Act from the date of this prospectus until the completion of the offering in the relevant prospectus supplement to which this prospectus relates or this offering is terminated (in no event, however, will any of the information that we disclose under Items 2.02 and 7.01 of any Current Report on Form 8-K that we may from time to time furnish to the Commission be incorporated by reference into, or otherwise included in, this prospectus):</w:t>
      </w:r>
    </w:p>
    <w:p>
      <w:pPr>
        <w:spacing w:after="0" w:line="71" w:lineRule="exact"/>
        <w:rPr>
          <w:sz w:val="20"/>
          <w:szCs w:val="20"/>
          <w:color w:val="auto"/>
        </w:rPr>
      </w:pPr>
    </w:p>
    <w:p>
      <w:pPr>
        <w:ind w:left="980" w:hanging="327"/>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8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November 30, 2022;</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8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quarterly period ended February 28, 2023;</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filed on </w:t>
      </w:r>
      <w:hyperlink r:id="rId89">
        <w:r>
          <w:rPr>
            <w:rFonts w:ascii="Times New Roman" w:cs="Times New Roman" w:eastAsia="Times New Roman" w:hAnsi="Times New Roman"/>
            <w:sz w:val="14"/>
            <w:szCs w:val="14"/>
            <w:u w:val="single" w:color="auto"/>
            <w:color w:val="0000EE"/>
          </w:rPr>
          <w:t>March 31, 2023</w:t>
        </w:r>
      </w:hyperlink>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980" w:right="759" w:hanging="327"/>
        <w:spacing w:after="0" w:line="281" w:lineRule="auto"/>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the Definitive Proxy Statement on </w:t>
      </w:r>
      <w:hyperlink r:id="rId90">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Commission on February 17, 2023 incorporated by reference in the Annual Report on Form 10-K for the year ended November 30, 2022;</w:t>
      </w:r>
    </w:p>
    <w:p>
      <w:pPr>
        <w:spacing w:after="0" w:line="52" w:lineRule="exact"/>
        <w:rPr>
          <w:rFonts w:ascii="Times New Roman" w:cs="Times New Roman" w:eastAsia="Times New Roman" w:hAnsi="Times New Roman"/>
          <w:sz w:val="14"/>
          <w:szCs w:val="14"/>
          <w:color w:val="auto"/>
        </w:rPr>
      </w:pPr>
    </w:p>
    <w:p>
      <w:pPr>
        <w:ind w:left="980" w:right="319" w:hanging="327"/>
        <w:spacing w:after="0" w:line="260" w:lineRule="auto"/>
        <w:tabs>
          <w:tab w:leader="none" w:pos="980" w:val="left"/>
        </w:tabs>
        <w:numPr>
          <w:ilvl w:val="0"/>
          <w:numId w:val="50"/>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the Common Stock contained in our registration statement on </w:t>
      </w:r>
      <w:hyperlink r:id="rId91">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dated August 30, 2001, as the description </w:t>
      </w:r>
      <w:hyperlink r:id="rId92">
        <w:r>
          <w:rPr>
            <w:rFonts w:ascii="Times New Roman" w:cs="Times New Roman" w:eastAsia="Times New Roman" w:hAnsi="Times New Roman"/>
            <w:sz w:val="14"/>
            <w:szCs w:val="14"/>
            <w:color w:val="auto"/>
          </w:rPr>
          <w:t xml:space="preserve">therein has been updated and superseded by the description of the Common Stock contained in </w:t>
        </w:r>
        <w:r>
          <w:rPr>
            <w:rFonts w:ascii="Times New Roman" w:cs="Times New Roman" w:eastAsia="Times New Roman" w:hAnsi="Times New Roman"/>
            <w:sz w:val="14"/>
            <w:szCs w:val="14"/>
            <w:u w:val="single" w:color="auto"/>
            <w:color w:val="0000EE"/>
          </w:rPr>
          <w:t>Exhibit 4(xiii) to our Form 10-K for the</w:t>
        </w:r>
      </w:hyperlink>
      <w:r>
        <w:rPr>
          <w:rFonts w:ascii="Times New Roman" w:cs="Times New Roman" w:eastAsia="Times New Roman" w:hAnsi="Times New Roman"/>
          <w:sz w:val="14"/>
          <w:szCs w:val="14"/>
          <w:color w:val="auto"/>
        </w:rPr>
        <w:t xml:space="preserve"> </w:t>
      </w:r>
      <w:hyperlink r:id="rId92">
        <w:r>
          <w:rPr>
            <w:rFonts w:ascii="Times New Roman" w:cs="Times New Roman" w:eastAsia="Times New Roman" w:hAnsi="Times New Roman"/>
            <w:sz w:val="14"/>
            <w:szCs w:val="14"/>
            <w:u w:val="single" w:color="auto"/>
            <w:color w:val="0000EE"/>
          </w:rPr>
          <w:t>fiscal year ended November 30, 2021</w:t>
        </w:r>
        <w:r>
          <w:rPr>
            <w:rFonts w:ascii="Times New Roman" w:cs="Times New Roman" w:eastAsia="Times New Roman" w:hAnsi="Times New Roman"/>
            <w:sz w:val="14"/>
            <w:szCs w:val="14"/>
            <w:color w:val="000000"/>
          </w:rPr>
          <w:t xml:space="preserve">, as filed with the Commission on January 27, 2022, and including any amendments and reports </w:t>
        </w:r>
      </w:hyperlink>
      <w:r>
        <w:rPr>
          <w:rFonts w:ascii="Times New Roman" w:cs="Times New Roman" w:eastAsia="Times New Roman" w:hAnsi="Times New Roman"/>
          <w:sz w:val="14"/>
          <w:szCs w:val="14"/>
          <w:color w:val="0000EE"/>
        </w:rPr>
        <w:t xml:space="preserve">filed </w:t>
      </w:r>
      <w:r>
        <w:rPr>
          <w:rFonts w:ascii="Times New Roman" w:cs="Times New Roman" w:eastAsia="Times New Roman" w:hAnsi="Times New Roman"/>
          <w:sz w:val="14"/>
          <w:szCs w:val="14"/>
          <w:color w:val="000000"/>
        </w:rPr>
        <w:t>for the purpose of updating such description; and</w:t>
      </w:r>
    </w:p>
    <w:p>
      <w:pPr>
        <w:spacing w:after="0" w:line="8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8" w:right="1440" w:bottom="1440" w:gutter="0" w:footer="0" w:header="0"/>
        </w:sectPr>
      </w:pPr>
    </w:p>
    <w:bookmarkStart w:id="66" w:name="page67"/>
    <w:bookmarkEnd w:id="66"/>
    <w:p>
      <w:pPr>
        <w:ind w:left="980" w:right="379" w:hanging="327"/>
        <w:spacing w:after="0" w:line="260" w:lineRule="auto"/>
        <w:tabs>
          <w:tab w:leader="none" w:pos="980" w:val="left"/>
        </w:tabs>
        <w:numPr>
          <w:ilvl w:val="0"/>
          <w:numId w:val="5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the description of the Common Stock Non-Voting contained in our registration statement on </w:t>
      </w:r>
      <w:hyperlink r:id="rId9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dated April 26, 1999, as the </w:t>
      </w:r>
      <w:hyperlink r:id="rId92">
        <w:r>
          <w:rPr>
            <w:rFonts w:ascii="Times New Roman" w:cs="Times New Roman" w:eastAsia="Times New Roman" w:hAnsi="Times New Roman"/>
            <w:sz w:val="14"/>
            <w:szCs w:val="14"/>
            <w:color w:val="auto"/>
          </w:rPr>
          <w:t xml:space="preserve">description therein has been updated and superseded by the description of the Common Stock Non-Voting contained in </w:t>
        </w:r>
        <w:r>
          <w:rPr>
            <w:rFonts w:ascii="Times New Roman" w:cs="Times New Roman" w:eastAsia="Times New Roman" w:hAnsi="Times New Roman"/>
            <w:sz w:val="14"/>
            <w:szCs w:val="14"/>
            <w:u w:val="single" w:color="auto"/>
            <w:color w:val="0000EE"/>
          </w:rPr>
          <w:t>Exhibit 4(xiii) to</w:t>
        </w:r>
      </w:hyperlink>
      <w:r>
        <w:rPr>
          <w:rFonts w:ascii="Times New Roman" w:cs="Times New Roman" w:eastAsia="Times New Roman" w:hAnsi="Times New Roman"/>
          <w:sz w:val="14"/>
          <w:szCs w:val="14"/>
          <w:color w:val="auto"/>
        </w:rPr>
        <w:t xml:space="preserve"> </w:t>
      </w:r>
      <w:hyperlink r:id="rId92">
        <w:r>
          <w:rPr>
            <w:rFonts w:ascii="Times New Roman" w:cs="Times New Roman" w:eastAsia="Times New Roman" w:hAnsi="Times New Roman"/>
            <w:sz w:val="14"/>
            <w:szCs w:val="14"/>
            <w:u w:val="single" w:color="auto"/>
            <w:color w:val="0000EE"/>
          </w:rPr>
          <w:t>our Form 10-K for the fiscal year ended November 30, 2021</w:t>
        </w:r>
        <w:r>
          <w:rPr>
            <w:rFonts w:ascii="Times New Roman" w:cs="Times New Roman" w:eastAsia="Times New Roman" w:hAnsi="Times New Roman"/>
            <w:sz w:val="14"/>
            <w:szCs w:val="14"/>
            <w:color w:val="000000"/>
          </w:rPr>
          <w:t>, as filed with the Commission on January 27, 2022, and including any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amendments and reports filed for the purpose of updating such description.</w:t>
      </w:r>
    </w:p>
    <w:p>
      <w:pPr>
        <w:spacing w:after="0" w:line="140" w:lineRule="exact"/>
        <w:rPr>
          <w:rFonts w:ascii="Times New Roman" w:cs="Times New Roman" w:eastAsia="Times New Roman" w:hAnsi="Times New Roman"/>
          <w:sz w:val="14"/>
          <w:szCs w:val="14"/>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is delivered, upon that person’s written or oral request, a copy of any or all of the information incorporated by reference in this prospectus (other than exhibits to those documents, unless the exhibits are specifically incorporated by reference into those documents). Requests should be directed to:</w:t>
      </w:r>
    </w:p>
    <w:p>
      <w:pPr>
        <w:spacing w:after="0" w:line="13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McCormick &amp; Company, Incorporated</w:t>
      </w:r>
    </w:p>
    <w:p>
      <w:pPr>
        <w:spacing w:after="0" w:line="2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Office of the Treasurer</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 Schilling Road, Suite 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Hunt Valley, Maryland 21031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(410) 771-7301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Investor Relations: (800) 424-5855, (410) 771-7537</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ir.mccormick.com</w:t>
      </w:r>
    </w:p>
    <w:p>
      <w:pPr>
        <w:spacing w:after="0" w:line="159" w:lineRule="exact"/>
        <w:rPr>
          <w:rFonts w:ascii="Times New Roman" w:cs="Times New Roman" w:eastAsia="Times New Roman" w:hAnsi="Times New Roman"/>
          <w:sz w:val="14"/>
          <w:szCs w:val="14"/>
          <w:color w:val="auto"/>
        </w:rPr>
      </w:pPr>
    </w:p>
    <w:p>
      <w:pPr>
        <w:ind w:left="240" w:right="419" w:firstLine="341"/>
        <w:spacing w:after="0" w:line="25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Commission and does not contain all of the information in the registration statement. You will find additional information about us in the registration statement. Any statement made in this prospectus concerning a contract, agreement or other document of ours is only a summary and is not necessarily complete, and you should read the documents that are filed as exhibits to the registration statement or otherwise filed with the Commission for a more complete understanding of the document or matter involved. You may obtain copies of the registration statement, including exhibits, as noted in the first paragraph above.</w:t>
      </w:r>
    </w:p>
    <w:p>
      <w:pPr>
        <w:spacing w:after="0" w:line="37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1063625</wp:posOffset>
            </wp:positionH>
            <wp:positionV relativeFrom="page">
              <wp:posOffset>182245</wp:posOffset>
            </wp:positionV>
            <wp:extent cx="5422265"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422265" cy="13335"/>
                    </a:xfrm>
                    <a:prstGeom prst="rect">
                      <a:avLst/>
                    </a:prstGeom>
                    <a:noFill/>
                  </pic:spPr>
                </pic:pic>
              </a:graphicData>
            </a:graphic>
          </wp:anchor>
        </w:drawing>
        <w:drawing>
          <wp:anchor simplePos="0" relativeHeight="251657728" behindDoc="1" locked="0" layoutInCell="0" allowOverlap="1">
            <wp:simplePos x="0" y="0"/>
            <wp:positionH relativeFrom="page">
              <wp:posOffset>1063625</wp:posOffset>
            </wp:positionH>
            <wp:positionV relativeFrom="page">
              <wp:posOffset>221615</wp:posOffset>
            </wp:positionV>
            <wp:extent cx="542226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422265" cy="6350"/>
                    </a:xfrm>
                    <a:prstGeom prst="rect">
                      <a:avLst/>
                    </a:prstGeom>
                    <a:noFill/>
                  </pic:spPr>
                </pic:pic>
              </a:graphicData>
            </a:graphic>
          </wp:anchor>
        </w:drawing>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265430</wp:posOffset>
            </wp:positionV>
            <wp:extent cx="584835" cy="525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84835"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McCormick &amp; Company, Incorporated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4.150%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564515</wp:posOffset>
            </wp:positionV>
            <wp:extent cx="11430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184150</wp:posOffset>
            </wp:positionV>
            <wp:extent cx="11430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BofA Securities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Truist Securities</w:t>
      </w:r>
    </w:p>
    <w:p>
      <w:pPr>
        <w:jc w:val="center"/>
        <w:spacing w:after="0"/>
        <w:rPr>
          <w:sz w:val="20"/>
          <w:szCs w:val="20"/>
          <w:color w:val="auto"/>
        </w:rPr>
      </w:pPr>
      <w:r>
        <w:rPr>
          <w:rFonts w:ascii="Times New Roman" w:cs="Times New Roman" w:eastAsia="Times New Roman" w:hAnsi="Times New Roman"/>
          <w:sz w:val="20"/>
          <w:szCs w:val="20"/>
          <w:b w:val="1"/>
          <w:bCs w:val="1"/>
          <w:color w:val="auto"/>
        </w:rPr>
        <w:t>Wells Fargo Securities</w:t>
      </w:r>
    </w:p>
    <w:p>
      <w:pPr>
        <w:jc w:val="center"/>
        <w:spacing w:after="0"/>
        <w:rPr>
          <w:sz w:val="20"/>
          <w:szCs w:val="20"/>
          <w:color w:val="auto"/>
        </w:rPr>
      </w:pPr>
      <w:r>
        <w:rPr>
          <w:rFonts w:ascii="Times New Roman" w:cs="Times New Roman" w:eastAsia="Times New Roman" w:hAnsi="Times New Roman"/>
          <w:sz w:val="20"/>
          <w:szCs w:val="20"/>
          <w:b w:val="1"/>
          <w:bCs w:val="1"/>
          <w:color w:val="auto"/>
        </w:rPr>
        <w:t>BNP PARIBAS</w:t>
      </w:r>
    </w:p>
    <w:p>
      <w:pPr>
        <w:jc w:val="center"/>
        <w:spacing w:after="0"/>
        <w:rPr>
          <w:sz w:val="20"/>
          <w:szCs w:val="20"/>
          <w:color w:val="auto"/>
        </w:rPr>
      </w:pPr>
      <w:r>
        <w:rPr>
          <w:rFonts w:ascii="Times New Roman" w:cs="Times New Roman" w:eastAsia="Times New Roman" w:hAnsi="Times New Roman"/>
          <w:sz w:val="20"/>
          <w:szCs w:val="20"/>
          <w:b w:val="1"/>
          <w:bCs w:val="1"/>
          <w:color w:val="auto"/>
        </w:rPr>
        <w:t>Citigroup</w:t>
      </w:r>
    </w:p>
    <w:p>
      <w:pPr>
        <w:jc w:val="center"/>
        <w:spacing w:after="0"/>
        <w:rPr>
          <w:sz w:val="20"/>
          <w:szCs w:val="20"/>
          <w:color w:val="auto"/>
        </w:rPr>
      </w:pPr>
      <w:r>
        <w:rPr>
          <w:rFonts w:ascii="Times New Roman" w:cs="Times New Roman" w:eastAsia="Times New Roman" w:hAnsi="Times New Roman"/>
          <w:sz w:val="20"/>
          <w:szCs w:val="20"/>
          <w:b w:val="1"/>
          <w:bCs w:val="1"/>
          <w:color w:val="auto"/>
        </w:rPr>
        <w:t>Mizuho</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US Bancorp</w:t>
      </w:r>
    </w:p>
    <w:p>
      <w:pPr>
        <w:jc w:val="center"/>
        <w:spacing w:after="0" w:line="231" w:lineRule="auto"/>
        <w:rPr>
          <w:sz w:val="20"/>
          <w:szCs w:val="20"/>
          <w:color w:val="auto"/>
        </w:rPr>
      </w:pPr>
      <w:r>
        <w:rPr>
          <w:rFonts w:ascii="Times New Roman" w:cs="Times New Roman" w:eastAsia="Times New Roman" w:hAnsi="Times New Roman"/>
          <w:sz w:val="17"/>
          <w:szCs w:val="17"/>
          <w:b w:val="1"/>
          <w:bCs w:val="1"/>
          <w:color w:val="auto"/>
        </w:rPr>
        <w:t>Citizens Capital Markets</w:t>
      </w:r>
    </w:p>
    <w:p>
      <w:pPr>
        <w:jc w:val="center"/>
        <w:spacing w:after="0" w:line="232" w:lineRule="auto"/>
        <w:rPr>
          <w:sz w:val="20"/>
          <w:szCs w:val="20"/>
          <w:color w:val="auto"/>
        </w:rPr>
      </w:pPr>
      <w:r>
        <w:rPr>
          <w:rFonts w:ascii="Times New Roman" w:cs="Times New Roman" w:eastAsia="Times New Roman" w:hAnsi="Times New Roman"/>
          <w:sz w:val="17"/>
          <w:szCs w:val="17"/>
          <w:b w:val="1"/>
          <w:bCs w:val="1"/>
          <w:color w:val="auto"/>
        </w:rPr>
        <w:t>HSBC</w:t>
      </w:r>
    </w:p>
    <w:p>
      <w:pPr>
        <w:jc w:val="center"/>
        <w:spacing w:after="0" w:line="231" w:lineRule="auto"/>
        <w:rPr>
          <w:sz w:val="20"/>
          <w:szCs w:val="20"/>
          <w:color w:val="auto"/>
        </w:rPr>
      </w:pPr>
      <w:r>
        <w:rPr>
          <w:rFonts w:ascii="Times New Roman" w:cs="Times New Roman" w:eastAsia="Times New Roman" w:hAnsi="Times New Roman"/>
          <w:sz w:val="17"/>
          <w:szCs w:val="17"/>
          <w:b w:val="1"/>
          <w:bCs w:val="1"/>
          <w:color w:val="auto"/>
        </w:rPr>
        <w:t>ING</w:t>
      </w:r>
    </w:p>
    <w:p>
      <w:pPr>
        <w:jc w:val="center"/>
        <w:spacing w:after="0" w:line="231" w:lineRule="auto"/>
        <w:rPr>
          <w:sz w:val="20"/>
          <w:szCs w:val="20"/>
          <w:color w:val="auto"/>
        </w:rPr>
      </w:pPr>
      <w:r>
        <w:rPr>
          <w:rFonts w:ascii="Times New Roman" w:cs="Times New Roman" w:eastAsia="Times New Roman" w:hAnsi="Times New Roman"/>
          <w:sz w:val="17"/>
          <w:szCs w:val="17"/>
          <w:b w:val="1"/>
          <w:bCs w:val="1"/>
          <w:color w:val="auto"/>
        </w:rPr>
        <w:t>M&amp;T Securities</w:t>
      </w:r>
    </w:p>
    <w:p>
      <w:pPr>
        <w:jc w:val="center"/>
        <w:spacing w:after="0" w:line="231" w:lineRule="auto"/>
        <w:rPr>
          <w:sz w:val="20"/>
          <w:szCs w:val="20"/>
          <w:color w:val="auto"/>
        </w:rPr>
      </w:pPr>
      <w:r>
        <w:rPr>
          <w:rFonts w:ascii="Times New Roman" w:cs="Times New Roman" w:eastAsia="Times New Roman" w:hAnsi="Times New Roman"/>
          <w:sz w:val="17"/>
          <w:szCs w:val="17"/>
          <w:b w:val="1"/>
          <w:bCs w:val="1"/>
          <w:color w:val="auto"/>
        </w:rPr>
        <w:t>PNC Capital Markets LLC</w:t>
      </w:r>
    </w:p>
    <w:p>
      <w:pPr>
        <w:jc w:val="center"/>
        <w:spacing w:after="0" w:line="232" w:lineRule="auto"/>
        <w:rPr>
          <w:sz w:val="20"/>
          <w:szCs w:val="20"/>
          <w:color w:val="auto"/>
        </w:rPr>
      </w:pPr>
      <w:r>
        <w:rPr>
          <w:rFonts w:ascii="Times New Roman" w:cs="Times New Roman" w:eastAsia="Times New Roman" w:hAnsi="Times New Roman"/>
          <w:sz w:val="17"/>
          <w:szCs w:val="17"/>
          <w:b w:val="1"/>
          <w:bCs w:val="1"/>
          <w:color w:val="auto"/>
        </w:rPr>
        <w:t>UBS Investment Bank</w:t>
      </w:r>
    </w:p>
    <w:p>
      <w:pPr>
        <w:jc w:val="center"/>
        <w:spacing w:after="0"/>
        <w:rPr>
          <w:sz w:val="20"/>
          <w:szCs w:val="20"/>
          <w:color w:val="auto"/>
        </w:rPr>
      </w:pPr>
      <w:r>
        <w:rPr>
          <w:rFonts w:ascii="Times New Roman" w:cs="Times New Roman" w:eastAsia="Times New Roman" w:hAnsi="Times New Roman"/>
          <w:sz w:val="17"/>
          <w:szCs w:val="17"/>
          <w:b w:val="1"/>
          <w:bCs w:val="1"/>
          <w:color w:val="auto"/>
        </w:rPr>
        <w:t>BBVA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548640</wp:posOffset>
            </wp:positionV>
            <wp:extent cx="11430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333375</wp:posOffset>
            </wp:positionV>
            <wp:extent cx="542226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386715</wp:posOffset>
            </wp:positionV>
            <wp:extent cx="5422265"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422265" cy="1333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68" w:name="page69"/>
    <w:bookmarkEnd w:id="68"/>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MCCORMICK &amp; CO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510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5"/>
              </w:rPr>
              <w:t>Security</w:t>
            </w:r>
          </w:p>
        </w:tc>
        <w:tc>
          <w:tcPr>
            <w:tcW w:w="4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60" w:type="dxa"/>
            <w:vAlign w:val="bottom"/>
            <w:shd w:val="clear" w:color="auto" w:fill="9ADAF6"/>
          </w:tcPr>
          <w:p>
            <w:pPr>
              <w:jc w:val="right"/>
              <w:ind w:right="7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7"/>
              </w:rPr>
              <w:t>4.150%</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0" w:type="dxa"/>
            <w:vAlign w:val="bottom"/>
            <w:tcBorders>
              <w:left w:val="single" w:sz="8" w:color="auto"/>
            </w:tcBorders>
          </w:tcPr>
          <w:p>
            <w:pPr>
              <w:spacing w:after="0"/>
              <w:rPr>
                <w:sz w:val="22"/>
                <w:szCs w:val="22"/>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0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2"/>
                <w:szCs w:val="22"/>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22"/>
                <w:szCs w:val="22"/>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22"/>
                <w:szCs w:val="22"/>
                <w:color w:val="auto"/>
              </w:rPr>
            </w:pPr>
          </w:p>
        </w:tc>
        <w:tc>
          <w:tcPr>
            <w:tcW w:w="96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500,000,000</w:t>
            </w:r>
          </w:p>
        </w:tc>
        <w:tc>
          <w:tcPr>
            <w:tcW w:w="20" w:type="dxa"/>
            <w:vAlign w:val="bottom"/>
          </w:tcPr>
          <w:p>
            <w:pPr>
              <w:spacing w:after="0"/>
              <w:rPr>
                <w:sz w:val="22"/>
                <w:szCs w:val="22"/>
                <w:color w:val="auto"/>
              </w:rPr>
            </w:pPr>
          </w:p>
        </w:tc>
        <w:tc>
          <w:tcPr>
            <w:tcW w:w="8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22"/>
                <w:szCs w:val="22"/>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$ 68,998.90</w:t>
            </w: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due</w:t>
            </w: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jc w:val="right"/>
              <w:spacing w:after="0" w:line="115" w:lineRule="exact"/>
              <w:rPr>
                <w:sz w:val="20"/>
                <w:szCs w:val="20"/>
                <w:color w:val="auto"/>
              </w:rPr>
            </w:pPr>
            <w:r>
              <w:rPr>
                <w:rFonts w:ascii="Arial" w:cs="Arial" w:eastAsia="Arial" w:hAnsi="Arial"/>
                <w:sz w:val="13"/>
                <w:szCs w:val="13"/>
                <w:color w:val="auto"/>
              </w:rPr>
              <w:t>499,630,000.00</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2029</w:t>
            </w: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$ 68,998.90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499,630,000.00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right"/>
              <w:spacing w:after="0"/>
              <w:rPr>
                <w:sz w:val="20"/>
                <w:szCs w:val="20"/>
                <w:color w:val="auto"/>
              </w:rPr>
            </w:pPr>
            <w:r>
              <w:rPr>
                <w:rFonts w:ascii="Arial" w:cs="Arial" w:eastAsia="Arial" w:hAnsi="Arial"/>
                <w:sz w:val="17"/>
                <w:szCs w:val="17"/>
                <w:color w:val="auto"/>
                <w:w w:val="96"/>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$ 68,998.90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8" w:lineRule="exact"/>
        <w:rPr>
          <w:sz w:val="20"/>
          <w:szCs w:val="20"/>
          <w:color w:val="auto"/>
        </w:rPr>
      </w:pPr>
    </w:p>
    <w:p>
      <w:pPr>
        <w:ind w:left="220" w:right="340" w:hanging="185"/>
        <w:spacing w:after="0" w:line="225" w:lineRule="auto"/>
        <w:tabs>
          <w:tab w:leader="none" w:pos="220" w:val="left"/>
        </w:tabs>
        <w:numPr>
          <w:ilvl w:val="0"/>
          <w:numId w:val="52"/>
        </w:numPr>
        <w:rPr>
          <w:rFonts w:ascii="Arial" w:cs="Arial" w:eastAsia="Arial" w:hAnsi="Arial"/>
          <w:sz w:val="21"/>
          <w:szCs w:val="21"/>
          <w:color w:val="auto"/>
          <w:vertAlign w:val="superscript"/>
        </w:rPr>
      </w:pPr>
      <w:r>
        <w:rPr>
          <w:rFonts w:ascii="Arial" w:cs="Arial" w:eastAsia="Arial" w:hAnsi="Arial"/>
          <w:sz w:val="17"/>
          <w:szCs w:val="17"/>
          <w:color w:val="auto"/>
        </w:rPr>
        <w:t>The filing fee is calculated in accordance with Rule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8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ind w:right="16"/>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gridSpan w:val="2"/>
            <w:shd w:val="clear" w:color="auto" w:fill="9ADAF6"/>
          </w:tcPr>
          <w:p>
            <w:pPr>
              <w:jc w:val="center"/>
              <w:ind w:right="16"/>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ind w:left="40"/>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3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3"/>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0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1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maximum aggregate offering price of the securities to which the prospectus relates is $499,630,000.00. The prospectus is a final prospectus for the</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2"/>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lowerLetter"/>
      <w:start w:val="1"/>
    </w:lvl>
    <w:lvl w:ilvl="1">
      <w:lvlJc w:val="left"/>
      <w:lvlText w:val="(%2)"/>
      <w:numFmt w:val="lowerRoman"/>
      <w:start w:val="1"/>
    </w:lvl>
  </w:abstractNum>
  <w:abstractNum w:abstractNumId="16">
    <w:nsid w:val="419AC241"/>
    <w:multiLevelType w:val="hybridMultilevel"/>
    <w:lvl w:ilvl="0">
      <w:lvlJc w:val="left"/>
      <w:lvlText w:val="(%1)"/>
      <w:numFmt w:val="lowerRoman"/>
      <w:start w:val="2"/>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lowerRoman"/>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lvl w:ilvl="1">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jpe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93"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jpe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49" Type="http://schemas.openxmlformats.org/officeDocument/2006/relationships/hyperlink" Target="http://www.sec.gov/ix?doc=/Archives/edgar/data/0000063754/000006375426000037/mkc-20251130.htm" TargetMode="External"/><Relationship Id="rId50" Type="http://schemas.openxmlformats.org/officeDocument/2006/relationships/hyperlink" Target="http://www.sec.gov/ix?doc=/Archives/edgar/data/0000063754/000006375426000031/mkc-20260119.htm" TargetMode="External"/><Relationship Id="rId51" Type="http://schemas.openxmlformats.org/officeDocument/2006/relationships/hyperlink" Target="http://www.sec.gov/ix?doc=/Archives/edgar/data/0000063754/000006375425000016/mkc-20250212.htm" TargetMode="External"/><Relationship Id="rId87" Type="http://schemas.openxmlformats.org/officeDocument/2006/relationships/hyperlink" Target="http://www.sec.gov/ix?doc=/Archives/edgar/data/63754/000006375423000005/mkc-20221130.htm" TargetMode="External"/><Relationship Id="rId88" Type="http://schemas.openxmlformats.org/officeDocument/2006/relationships/hyperlink" Target="http://www.sec.gov/ix?doc=/Archives/edgar/data/63754/000006375423000012/mkc-20230228.htm" TargetMode="External"/><Relationship Id="rId89" Type="http://schemas.openxmlformats.org/officeDocument/2006/relationships/hyperlink" Target="http://www.sec.gov/ix?doc=/Archives/edgar/data/63754/000006375423000014/mkc-20230329.htm" TargetMode="External"/><Relationship Id="rId90" Type="http://schemas.openxmlformats.org/officeDocument/2006/relationships/hyperlink" Target="http://www.sec.gov/Archives/edgar/data/63754/000130817923000045/lmkc2023_def14a.htm" TargetMode="External"/><Relationship Id="rId91" Type="http://schemas.openxmlformats.org/officeDocument/2006/relationships/hyperlink" Target="http://www.sec.gov/Archives/edgar/data/63754/000091205701530878/a2058200z8-a12b.txt" TargetMode="External"/><Relationship Id="rId92" Type="http://schemas.openxmlformats.org/officeDocument/2006/relationships/hyperlink" Target="http://www.sec.gov/Archives/edgar/data/63754/000006375422000005/mkc-11302021xex4xiiidescri.htm" TargetMode="External"/><Relationship Id="rId94" Type="http://schemas.openxmlformats.org/officeDocument/2006/relationships/hyperlink" Target="http://www.sec.gov/Archives/edgar/data/63754/0001047469-99-016340.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2026-02-04T15:26:23Z</dcterms:created>
  <dcterms:modified xsi:type="dcterms:W3CDTF">2026-02-04T15:26:23Z</dcterms:modified>
</cp:coreProperties>
</file>