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Foley Brendan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800"/>
        <w:gridCol w:w="452"/>
        <w:gridCol w:w="614"/>
        <w:gridCol w:w="1445"/>
        <w:gridCol w:w="994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130,344.016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Non Voting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1,770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71"/>
        <w:gridCol w:w="831"/>
        <w:gridCol w:w="1056"/>
      </w:tblGrid>
      <w:tr>
        <w:trPr>
          <w:tblHeader w:val="true"/>
        </w:trPr>
        <w:tc>
          <w:tcPr>
            <w:tcW w:w="124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54.566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54.566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45.94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14,643.386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Retirement Savings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represents the right to receive one share of Common Stock - Voting. Shares of Phantom Stock are payable in shares of Common Stock - Voting in accordance with the terms of the Non-Qualified Retirement Savings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4562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3404</Characters>
  <CharactersWithSpaces>3959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