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center"/>
        <w:rPr/>
      </w:pPr>
      <w:r>
        <w:rPr/>
      </w:r>
    </w:p>
    <w:tbl>
      <w:tblPr>
        <w:tblW w:w="1126" w:type="dxa"/>
        <w:jc w:val="center"/>
        <w:tblInd w:w="0" w:type="dxa"/>
        <w:tblLayout w:type="fixed"/>
        <w:tblCellMar>
          <w:top w:w="28" w:type="dxa"/>
          <w:left w:w="28" w:type="dxa"/>
          <w:bottom w:w="28" w:type="dxa"/>
          <w:right w:w="28" w:type="dxa"/>
        </w:tblCellMar>
      </w:tblPr>
      <w:tblGrid>
        <w:gridCol w:w="245"/>
        <w:gridCol w:w="215"/>
        <w:gridCol w:w="216"/>
        <w:gridCol w:w="132"/>
        <w:gridCol w:w="132"/>
        <w:gridCol w:w="186"/>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center"/>
        <w:rPr/>
      </w:pPr>
      <w:r>
        <w:rPr/>
      </w:r>
    </w:p>
    <w:tbl>
      <w:tblPr>
        <w:tblW w:w="1785" w:type="dxa"/>
        <w:jc w:val="center"/>
        <w:tblInd w:w="0" w:type="dxa"/>
        <w:tblLayout w:type="fixed"/>
        <w:tblCellMar>
          <w:top w:w="28" w:type="dxa"/>
          <w:left w:w="28" w:type="dxa"/>
          <w:bottom w:w="28" w:type="dxa"/>
          <w:right w:w="28" w:type="dxa"/>
        </w:tblCellMar>
      </w:tblPr>
      <w:tblGrid>
        <w:gridCol w:w="572"/>
        <w:gridCol w:w="502"/>
        <w:gridCol w:w="711"/>
      </w:tblGrid>
      <w:tr>
        <w:trPr/>
        <w:tc>
          <w:tcPr>
            <w:tcW w:w="57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24, 2026</w:t>
            </w:r>
          </w:p>
        </w:tc>
      </w:tr>
    </w:tbl>
    <w:p>
      <w:pPr>
        <w:pStyle w:val="TextBody"/>
        <w:bidi w:val="0"/>
        <w:spacing w:before="0" w:after="0"/>
        <w:jc w:val="center"/>
        <w:rPr/>
      </w:pPr>
      <w:r>
        <w:rPr/>
      </w:r>
    </w:p>
    <w:p>
      <w:pPr>
        <w:pStyle w:val="TextBody"/>
        <w:bidi w:val="0"/>
        <w:spacing w:before="0" w:after="0"/>
        <w:jc w:val="center"/>
        <w:rPr/>
      </w:pPr>
      <w:r>
        <w:rPr/>
      </w:r>
    </w:p>
    <w:tbl>
      <w:tblPr>
        <w:tblW w:w="2520" w:type="dxa"/>
        <w:jc w:val="center"/>
        <w:tblInd w:w="0" w:type="dxa"/>
        <w:tblLayout w:type="fixed"/>
        <w:tblCellMar>
          <w:top w:w="28" w:type="dxa"/>
          <w:left w:w="28" w:type="dxa"/>
          <w:bottom w:w="28" w:type="dxa"/>
          <w:right w:w="28" w:type="dxa"/>
        </w:tblCellMar>
      </w:tblPr>
      <w:tblGrid>
        <w:gridCol w:w="806"/>
        <w:gridCol w:w="709"/>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McCormick &amp; Company, Inc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5086" w:type="dxa"/>
        <w:jc w:val="left"/>
        <w:tblInd w:w="0" w:type="dxa"/>
        <w:tblLayout w:type="fixed"/>
        <w:tblCellMar>
          <w:top w:w="28" w:type="dxa"/>
          <w:left w:w="28" w:type="dxa"/>
          <w:bottom w:w="28" w:type="dxa"/>
          <w:right w:w="28" w:type="dxa"/>
        </w:tblCellMar>
      </w:tblPr>
      <w:tblGrid>
        <w:gridCol w:w="815"/>
        <w:gridCol w:w="713"/>
        <w:gridCol w:w="722"/>
        <w:gridCol w:w="394"/>
        <w:gridCol w:w="394"/>
        <w:gridCol w:w="398"/>
        <w:gridCol w:w="482"/>
        <w:gridCol w:w="482"/>
        <w:gridCol w:w="686"/>
      </w:tblGrid>
      <w:tr>
        <w:trPr/>
        <w:tc>
          <w:tcPr>
            <w:tcW w:w="81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001-14920</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52-0408290</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24 Schilling Road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Suite 1</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Hunt Valley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21031</w:t>
            </w:r>
          </w:p>
        </w:tc>
      </w:tr>
      <w:tr>
        <w:trPr/>
        <w:tc>
          <w:tcPr>
            <w:tcW w:w="34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w:t>
      </w:r>
    </w:p>
    <w:tbl>
      <w:tblPr>
        <w:tblW w:w="1380" w:type="dxa"/>
        <w:jc w:val="center"/>
        <w:tblInd w:w="0" w:type="dxa"/>
        <w:tblLayout w:type="fixed"/>
        <w:tblCellMar>
          <w:top w:w="28" w:type="dxa"/>
          <w:left w:w="28" w:type="dxa"/>
          <w:bottom w:w="28" w:type="dxa"/>
          <w:right w:w="28" w:type="dxa"/>
        </w:tblCellMar>
      </w:tblPr>
      <w:tblGrid>
        <w:gridCol w:w="158"/>
        <w:gridCol w:w="138"/>
        <w:gridCol w:w="140"/>
        <w:gridCol w:w="276"/>
        <w:gridCol w:w="276"/>
        <w:gridCol w:w="39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771-7301</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160"/>
        <w:jc w:val="left"/>
        <w:rPr/>
      </w:pPr>
      <w:r>
        <w:rPr/>
      </w:r>
    </w:p>
    <w:p>
      <w:pPr>
        <w:pStyle w:val="TextBody"/>
        <w:bidi w:val="0"/>
        <w:spacing w:lineRule="auto" w:line="312" w:before="0" w:after="160"/>
        <w:ind w:left="0" w:right="0" w:hanging="4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160"/>
        <w:ind w:left="0" w:right="0" w:hanging="45"/>
        <w:jc w:val="left"/>
        <w:rPr/>
      </w:pPr>
      <w:r>
        <w:rPr/>
      </w:r>
    </w:p>
    <w:tbl>
      <w:tblPr>
        <w:tblW w:w="7724" w:type="dxa"/>
        <w:jc w:val="left"/>
        <w:tblInd w:w="0" w:type="dxa"/>
        <w:tblLayout w:type="fixed"/>
        <w:tblCellMar>
          <w:top w:w="28" w:type="dxa"/>
          <w:left w:w="28" w:type="dxa"/>
          <w:bottom w:w="28" w:type="dxa"/>
          <w:right w:w="28" w:type="dxa"/>
        </w:tblCellMar>
      </w:tblPr>
      <w:tblGrid>
        <w:gridCol w:w="869"/>
        <w:gridCol w:w="761"/>
        <w:gridCol w:w="770"/>
        <w:gridCol w:w="539"/>
        <w:gridCol w:w="539"/>
        <w:gridCol w:w="541"/>
        <w:gridCol w:w="1085"/>
        <w:gridCol w:w="1085"/>
        <w:gridCol w:w="1535"/>
      </w:tblGrid>
      <w:tr>
        <w:trPr/>
        <w:tc>
          <w:tcPr>
            <w:tcW w:w="86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00"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MKC-V</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40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Non-Voting</w:t>
            </w:r>
          </w:p>
        </w:tc>
        <w:tc>
          <w:tcPr>
            <w:tcW w:w="1619"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MKC</w:t>
            </w:r>
          </w:p>
        </w:tc>
        <w:tc>
          <w:tcPr>
            <w:tcW w:w="370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16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4.01 Changes in Registrant's Certifying Accountant.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September 24, 2026, the Audit Committee (the “</w:t>
      </w:r>
      <w:r>
        <w:rPr>
          <w:rFonts w:ascii="Times New Roman;serif" w:hAnsi="Times New Roman;serif"/>
          <w:b w:val="false"/>
          <w:i/>
          <w:color w:val="000000"/>
          <w:sz w:val="20"/>
        </w:rPr>
        <w:t>Audit Committee</w:t>
      </w:r>
      <w:r>
        <w:rPr>
          <w:color w:val="000000"/>
        </w:rPr>
        <w:t>”</w:t>
      </w:r>
      <w:r>
        <w:rPr>
          <w:rFonts w:ascii="Times New Roman;serif" w:hAnsi="Times New Roman;serif"/>
          <w:b w:val="false"/>
          <w:color w:val="000000"/>
          <w:sz w:val="20"/>
        </w:rPr>
        <w:t>) of the Board of Directors of McCormick &amp; Company, Incorporated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dismissed Ernst &amp; Young LLP (“</w:t>
      </w:r>
      <w:r>
        <w:rPr>
          <w:rFonts w:ascii="Times New Roman;serif" w:hAnsi="Times New Roman;serif"/>
          <w:b w:val="false"/>
          <w:i/>
          <w:color w:val="000000"/>
          <w:sz w:val="20"/>
        </w:rPr>
        <w:t>EY</w:t>
      </w:r>
      <w:r>
        <w:rPr>
          <w:color w:val="000000"/>
        </w:rPr>
        <w:t>”</w:t>
      </w:r>
      <w:r>
        <w:rPr>
          <w:rFonts w:ascii="Times New Roman;serif" w:hAnsi="Times New Roman;serif"/>
          <w:b w:val="false"/>
          <w:color w:val="000000"/>
          <w:sz w:val="20"/>
        </w:rPr>
        <w:t>) as the Company’s independent registered public accounting firm, due to the fact that EY is not expected to be considered independent with respect to the Company under the rules of the Securities and Exchange Commission (the “</w:t>
      </w:r>
      <w:r>
        <w:rPr>
          <w:rFonts w:ascii="Times New Roman;serif" w:hAnsi="Times New Roman;serif"/>
          <w:b w:val="false"/>
          <w:i/>
          <w:color w:val="000000"/>
          <w:sz w:val="20"/>
        </w:rPr>
        <w:t>SEC</w:t>
      </w:r>
      <w:r>
        <w:rPr>
          <w:color w:val="000000"/>
        </w:rPr>
        <w:t>”</w:t>
      </w:r>
      <w:r>
        <w:rPr>
          <w:rFonts w:ascii="Times New Roman;serif" w:hAnsi="Times New Roman;serif"/>
          <w:b w:val="false"/>
          <w:color w:val="000000"/>
          <w:sz w:val="20"/>
        </w:rPr>
        <w:t>) after the anticipated closing of the transactions announced on March 31, 2026, between the Company, Unilever PLC, a public limited company registered in England and Wales (“</w:t>
      </w:r>
      <w:r>
        <w:rPr>
          <w:rFonts w:ascii="Times New Roman;serif" w:hAnsi="Times New Roman;serif"/>
          <w:b w:val="false"/>
          <w:i/>
          <w:color w:val="000000"/>
          <w:sz w:val="20"/>
        </w:rPr>
        <w:t>Unilever</w:t>
      </w:r>
      <w:r>
        <w:rPr>
          <w:color w:val="000000"/>
        </w:rPr>
        <w:t>”</w:t>
      </w:r>
      <w:r>
        <w:rPr>
          <w:rFonts w:ascii="Times New Roman;serif" w:hAnsi="Times New Roman;serif"/>
          <w:b w:val="false"/>
          <w:color w:val="000000"/>
          <w:sz w:val="20"/>
        </w:rPr>
        <w:t>), and certain affiliated companies of the Company and Unilever, pursuant to which and subject to the terms and conditions contained in the definitive transaction agreements, Unilever will transfer its foods business, subject to certain exceptions, to the Company. EY’s dismissal will be effective upon the filing of the Company’s Annual Report on Form 10-K for the fiscal year ended November 30,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audit reports of EY on the Company’s consolidated financial statements for each of the fiscal years ended November 30, 2024, and November 30, 2025, did not contain an adverse opinion or a disclaimer of opinion, nor were they qualified or modified as to uncertainty, audit scope or accounting principles. In the fiscal years ended November 30, 2024, and November 30, 2025, and in the subsequent interim period through the date of this Current Report on Form 8- K (this “</w:t>
      </w:r>
      <w:r>
        <w:rPr>
          <w:rFonts w:ascii="Times New Roman;serif" w:hAnsi="Times New Roman;serif"/>
          <w:b w:val="false"/>
          <w:i/>
          <w:color w:val="000000"/>
          <w:sz w:val="20"/>
        </w:rPr>
        <w:t>Current Report</w:t>
      </w:r>
      <w:r>
        <w:rPr>
          <w:color w:val="000000"/>
        </w:rPr>
        <w:t>”</w:t>
      </w:r>
      <w:r>
        <w:rPr>
          <w:rFonts w:ascii="Times New Roman;serif" w:hAnsi="Times New Roman;serif"/>
          <w:b w:val="false"/>
          <w:color w:val="000000"/>
          <w:sz w:val="20"/>
        </w:rPr>
        <w:t>), there were no: (1) disagreements (within the meaning of Item 304(a)(1)(iv) of Regulation S-K and the related instructions under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between the Company and EY on any matter of accounting principles or practices, financial statement disclosure or auditing scope or procedures, which, if not resolved to the satisfaction of EY, would have caused EY to make reference to the subject matter of the disagreements in connection with its report on the Company’s consolidated financial statements for such fiscal years, or (2) reportable events (within the meaning of Item 304(a)(1)(v) of Regulation S-K and the related instructions under the Exchange Act).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provided EY with a copy of the disclosures in this Current Report and requested that EY provide the Company with a letter addressed to the SEC stating whether EY agrees with the statements made by the Company herein and, if not, stating the respects in which it does not agree. A copy of EY’s letter, dated September 28, 2026, is filed as Exhibit 16.1 to this Current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Following a request for proposals process, on September 24, 2026, the Audit Committee approved the engagement of KPMG LLP (“</w:t>
      </w:r>
      <w:r>
        <w:rPr>
          <w:rFonts w:ascii="Times New Roman;serif" w:hAnsi="Times New Roman;serif"/>
          <w:b w:val="false"/>
          <w:i/>
          <w:color w:val="000000"/>
          <w:sz w:val="20"/>
        </w:rPr>
        <w:t>KPMG</w:t>
      </w:r>
      <w:r>
        <w:rPr>
          <w:color w:val="000000"/>
        </w:rPr>
        <w:t>”</w:t>
      </w:r>
      <w:r>
        <w:rPr>
          <w:rFonts w:ascii="Times New Roman;serif" w:hAnsi="Times New Roman;serif"/>
          <w:b w:val="false"/>
          <w:color w:val="000000"/>
          <w:sz w:val="20"/>
        </w:rPr>
        <w:t>) as the independent registered public accounting firm for the Company, subject to completion of KPMG’s standard client acceptance procedures and execution of an engagement letter, for the fiscal year ending November 30, 2027, effective as of EY’s dismissal upon the filing of the Company’s Annual Report on Form 10-K for the fiscal year ended November 30,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fiscal years ended November 30, 2024, and November 30, 2025, and the subsequent interim period through the date of this Current Report, neither the Company, nor anyone on the Company’s behalf, consulted with KPMG regarding either (1) the application of accounting principles to a specified transaction, either completed or proposed, or the type of audit opinion that might be rendered on the Company’s consolidated financial statements, and no written report or oral advice was provided by KPMG to the Company that KPMG concluded was an important factor considered by the Company in reaching a decision as to the accounting, auditing or financial reporting issue; or (2) any matter that was the subject of either a disagreement (within the meaning of Item 304(a)(1)(iv) of Regulation S-K and the related instructions under the Exchange Act) or a reportable event (within the meaning of Item 304(a)(1)(v) of Regulation S-K and the related instructions under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24"/>
        <w:gridCol w:w="460"/>
        <w:gridCol w:w="462"/>
        <w:gridCol w:w="2557"/>
        <w:gridCol w:w="2557"/>
        <w:gridCol w:w="3645"/>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9x28xeychangeinau.htm">
              <w:r>
                <w:rPr>
                  <w:rStyle w:val="InternetLink"/>
                  <w:rFonts w:ascii="Times New Roman;serif" w:hAnsi="Times New Roman;serif"/>
                  <w:b w:val="false"/>
                  <w:color w:val="0000FF"/>
                  <w:sz w:val="20"/>
                  <w:u w:val="single"/>
                </w:rPr>
                <w:t>Letter to the Securities and Exchange Commission from Ernst &amp; Young LLP, dated September 28, 2026</w:t>
              </w:r>
            </w:hyperlink>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Document Set for the Cover Page from this Current Report on Form 8-K, formatted as Inline XBRL</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766" w:type="dxa"/>
        <w:jc w:val="center"/>
        <w:tblInd w:w="0" w:type="dxa"/>
        <w:tblLayout w:type="fixed"/>
        <w:tblCellMar>
          <w:top w:w="28" w:type="dxa"/>
          <w:left w:w="28" w:type="dxa"/>
          <w:bottom w:w="28" w:type="dxa"/>
          <w:right w:w="28" w:type="dxa"/>
        </w:tblCellMar>
      </w:tblPr>
      <w:tblGrid>
        <w:gridCol w:w="802"/>
        <w:gridCol w:w="707"/>
        <w:gridCol w:w="711"/>
        <w:gridCol w:w="466"/>
        <w:gridCol w:w="466"/>
        <w:gridCol w:w="466"/>
        <w:gridCol w:w="466"/>
        <w:gridCol w:w="466"/>
        <w:gridCol w:w="466"/>
        <w:gridCol w:w="1085"/>
        <w:gridCol w:w="1085"/>
        <w:gridCol w:w="158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McCORMICK &amp; COMPANY, INCORPORATED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28, 2026</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Jeffery D. Schwartz        </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Jeffery D. Schwartz</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General Counsel &amp;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2026-09x28xeychangeinau.htm"/>
      <w:bookmarkStart w:id="1" w:name="ksa202609x28xeychangeinau"/>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16.1 September 28, 2026 Securities and Exchange Commission 100 F Street, N.E. Washington, DC 20549 Commissioners: We have read Item 4.01 of Form 8-K dated September 28, 2026, of McCormick &amp; Company, Incorporated and are in agreement with the statements contained in the first, second and third paragraphs on page 1 therein. We have no basis to agree or disagree with other statements of the registrant contained therein. /s/ Ernst &amp; Young LLP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1114</Words>
  <Characters>5985</Characters>
  <CharactersWithSpaces>7053</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a2026-09x28xeychangeinau</dc:title>
</cp:coreProperties>
</file>