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4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8" w:lineRule="exact"/>
        <w:rPr>
          <w:sz w:val="24"/>
          <w:szCs w:val="24"/>
          <w:color w:val="auto"/>
        </w:rPr>
      </w:pPr>
    </w:p>
    <w:p>
      <w:pPr>
        <w:ind w:left="700" w:hanging="674"/>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ANNUAL REPORT PURSUANT TO SECTION 15(d) OF THE SECURITIES EXCHANGE ACT OF 1934</w:t>
      </w:r>
    </w:p>
    <w:p>
      <w:pPr>
        <w:spacing w:after="0" w:line="1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9" w:lineRule="exact"/>
        <w:rPr>
          <w:sz w:val="24"/>
          <w:szCs w:val="24"/>
          <w:color w:val="auto"/>
        </w:rPr>
      </w:pPr>
    </w:p>
    <w:p>
      <w:pPr>
        <w:ind w:left="3840" w:right="1679" w:hanging="3814"/>
        <w:spacing w:after="0" w:line="435" w:lineRule="auto"/>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15(d) OF THE SECURITIES EXCHANGE ACT OF 1934 For the transition period from ______ to _________</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001-14920</w:t>
      </w:r>
    </w:p>
    <w:p>
      <w:pPr>
        <w:spacing w:after="0" w:line="3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THE McCORMICK 401(K) RETIREMENT PLAN</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Full title of plan</w:t>
      </w:r>
    </w:p>
    <w:p>
      <w:pPr>
        <w:spacing w:after="0" w:line="1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McCORMICK &amp; COMPANY, INCORPORATED</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24 Schilling Road, Suite 1</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Hunt Valley, Maryland 21031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issuer of the securities held pursuant to the plan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 address of its principal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22" w:right="1440" w:bottom="1440" w:gutter="0" w:footer="0" w:header="0"/>
        </w:sectPr>
      </w:pPr>
    </w:p>
    <w:bookmarkStart w:id="1" w:name="page2"/>
    <w:bookmarkEnd w:id="1"/>
    <w:p>
      <w:pPr>
        <w:jc w:val="right"/>
        <w:ind w:right="3659"/>
        <w:spacing w:after="0"/>
        <w:rPr>
          <w:sz w:val="20"/>
          <w:szCs w:val="20"/>
          <w:color w:val="auto"/>
        </w:rPr>
      </w:pPr>
      <w:r>
        <w:rPr>
          <w:rFonts w:ascii="Times New Roman" w:cs="Times New Roman" w:eastAsia="Times New Roman" w:hAnsi="Times New Roman"/>
          <w:sz w:val="18"/>
          <w:szCs w:val="18"/>
          <w:b w:val="1"/>
          <w:bCs w:val="1"/>
          <w:color w:val="auto"/>
        </w:rPr>
        <w:t>Required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through 3: Not required; see Item 4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Plan Financial Statements and Schedules.</w:t>
      </w:r>
    </w:p>
    <w:p>
      <w:pPr>
        <w:spacing w:after="0" w:line="185" w:lineRule="exact"/>
        <w:rPr>
          <w:sz w:val="20"/>
          <w:szCs w:val="20"/>
          <w:color w:val="auto"/>
        </w:rPr>
      </w:pPr>
    </w:p>
    <w:p>
      <w:pPr>
        <w:ind w:left="540" w:hanging="53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Report of Independent Registered Public Accounting Firm</w:t>
      </w:r>
    </w:p>
    <w:p>
      <w:pPr>
        <w:spacing w:after="0" w:line="184" w:lineRule="exact"/>
        <w:rPr>
          <w:rFonts w:ascii="Times New Roman" w:cs="Times New Roman" w:eastAsia="Times New Roman" w:hAnsi="Times New Roman"/>
          <w:sz w:val="18"/>
          <w:szCs w:val="18"/>
          <w:color w:val="auto"/>
        </w:rPr>
      </w:pPr>
    </w:p>
    <w:p>
      <w:pPr>
        <w:ind w:left="940" w:hanging="394"/>
        <w:spacing w:after="0"/>
        <w:tabs>
          <w:tab w:leader="none" w:pos="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Net Assets Available For Benefits</w:t>
      </w:r>
    </w:p>
    <w:p>
      <w:pPr>
        <w:spacing w:after="0" w:line="184" w:lineRule="exact"/>
        <w:rPr>
          <w:rFonts w:ascii="Times New Roman" w:cs="Times New Roman" w:eastAsia="Times New Roman" w:hAnsi="Times New Roman"/>
          <w:sz w:val="18"/>
          <w:szCs w:val="18"/>
          <w:color w:val="auto"/>
        </w:rPr>
      </w:pPr>
    </w:p>
    <w:p>
      <w:pPr>
        <w:ind w:left="940" w:hanging="394"/>
        <w:spacing w:after="0"/>
        <w:tabs>
          <w:tab w:leader="none" w:pos="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Changes in Net Assets Available For Benefits</w:t>
      </w:r>
    </w:p>
    <w:p>
      <w:pPr>
        <w:spacing w:after="0" w:line="184" w:lineRule="exact"/>
        <w:rPr>
          <w:rFonts w:ascii="Times New Roman" w:cs="Times New Roman" w:eastAsia="Times New Roman" w:hAnsi="Times New Roman"/>
          <w:sz w:val="18"/>
          <w:szCs w:val="18"/>
          <w:color w:val="auto"/>
        </w:rPr>
      </w:pPr>
    </w:p>
    <w:p>
      <w:pPr>
        <w:ind w:left="940" w:hanging="394"/>
        <w:spacing w:after="0"/>
        <w:tabs>
          <w:tab w:leader="none" w:pos="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Financial Statements</w:t>
      </w:r>
    </w:p>
    <w:p>
      <w:pPr>
        <w:spacing w:after="0" w:line="184" w:lineRule="exact"/>
        <w:rPr>
          <w:rFonts w:ascii="Times New Roman" w:cs="Times New Roman" w:eastAsia="Times New Roman" w:hAnsi="Times New Roman"/>
          <w:sz w:val="18"/>
          <w:szCs w:val="18"/>
          <w:color w:val="auto"/>
        </w:rPr>
      </w:pPr>
    </w:p>
    <w:p>
      <w:pPr>
        <w:ind w:left="620" w:hanging="61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Index: 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2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The Plan</w:t>
      </w:r>
      <w:r>
        <w:rPr>
          <w:rFonts w:ascii="Times New Roman" w:cs="Times New Roman" w:eastAsia="Times New Roman" w:hAnsi="Times New Roman"/>
          <w:sz w:val="18"/>
          <w:szCs w:val="18"/>
          <w:color w:val="auto"/>
        </w:rPr>
        <w:t>. Pursuant to the requirements of the Securities Exchange Act of 1934, the trustees (or other persons who administer the Plan) have duly caused this annual report to be signed on its behalf by the undersigned thereunto duly authorized.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8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THE McCORMICK 401(K) RETIREMENT PLAN</w:t>
            </w:r>
          </w:p>
        </w:tc>
      </w:tr>
      <w:tr>
        <w:trPr>
          <w:trHeight w:val="878"/>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Date:June 17, 2026</w:t>
            </w:r>
          </w:p>
        </w:tc>
        <w:tc>
          <w:tcPr>
            <w:tcW w:w="848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Julie E. Giese</w:t>
            </w:r>
          </w:p>
        </w:tc>
      </w:tr>
      <w:tr>
        <w:trPr>
          <w:trHeight w:val="218"/>
        </w:trPr>
        <w:tc>
          <w:tcPr>
            <w:tcW w:w="2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Julie E. Giese</w:t>
            </w:r>
          </w:p>
        </w:tc>
      </w:tr>
      <w:tr>
        <w:trPr>
          <w:trHeight w:val="229"/>
        </w:trPr>
        <w:tc>
          <w:tcPr>
            <w:tcW w:w="27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Controller</w:t>
            </w:r>
          </w:p>
        </w:tc>
      </w:tr>
      <w:tr>
        <w:trPr>
          <w:trHeight w:val="234"/>
        </w:trPr>
        <w:tc>
          <w:tcPr>
            <w:tcW w:w="27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1006"/>
        </w:trPr>
        <w:tc>
          <w:tcPr>
            <w:tcW w:w="27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ind w:left="6100"/>
        <w:spacing w:after="0"/>
        <w:rPr>
          <w:sz w:val="20"/>
          <w:szCs w:val="20"/>
          <w:color w:val="auto"/>
        </w:rPr>
      </w:pPr>
      <w:r>
        <w:rPr>
          <w:rFonts w:ascii="Times New Roman" w:cs="Times New Roman" w:eastAsia="Times New Roman" w:hAnsi="Times New Roman"/>
          <w:sz w:val="17"/>
          <w:szCs w:val="17"/>
          <w:b w:val="1"/>
          <w:bCs w:val="1"/>
          <w:color w:val="auto"/>
        </w:rPr>
        <w:t>THE MCCORMICK 401(K) RETIREMENT PLAN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Financial Statements and Supplemental Schedule Together with</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589915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THE MCCORMICK 401(K) RETIREMENT PLAN</w:t>
            </w:r>
          </w:p>
        </w:tc>
      </w:tr>
      <w:tr>
        <w:trPr>
          <w:trHeight w:val="621"/>
        </w:trPr>
        <w:tc>
          <w:tcPr>
            <w:tcW w:w="69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340" w:type="dxa"/>
            <w:vAlign w:val="bottom"/>
          </w:tcPr>
          <w:p>
            <w:pPr>
              <w:spacing w:after="0"/>
              <w:rPr>
                <w:sz w:val="24"/>
                <w:szCs w:val="24"/>
                <w:color w:val="auto"/>
              </w:rPr>
            </w:pPr>
          </w:p>
        </w:tc>
      </w:tr>
      <w:tr>
        <w:trPr>
          <w:trHeight w:val="500"/>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7"/>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340" w:type="dxa"/>
            <w:vAlign w:val="bottom"/>
          </w:tcPr>
          <w:p>
            <w:pPr>
              <w:spacing w:after="0"/>
              <w:rPr>
                <w:sz w:val="24"/>
                <w:szCs w:val="24"/>
                <w:color w:val="auto"/>
              </w:rPr>
            </w:pPr>
          </w:p>
        </w:tc>
      </w:tr>
      <w:tr>
        <w:trPr>
          <w:trHeight w:val="311"/>
        </w:trPr>
        <w:tc>
          <w:tcPr>
            <w:tcW w:w="6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3"/>
        </w:trPr>
        <w:tc>
          <w:tcPr>
            <w:tcW w:w="6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6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Notes to the Financial Statements</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83"/>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4340" w:type="dxa"/>
            <w:vAlign w:val="bottom"/>
          </w:tcPr>
          <w:p>
            <w:pPr>
              <w:spacing w:after="0"/>
              <w:rPr>
                <w:sz w:val="24"/>
                <w:szCs w:val="24"/>
                <w:color w:val="auto"/>
              </w:rPr>
            </w:pPr>
          </w:p>
        </w:tc>
      </w:tr>
      <w:tr>
        <w:trPr>
          <w:trHeight w:val="283"/>
        </w:trPr>
        <w:tc>
          <w:tcPr>
            <w:tcW w:w="6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3"/>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019"/>
        </w:trPr>
        <w:tc>
          <w:tcPr>
            <w:tcW w:w="69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ind w:left="9960"/>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64592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McCormick 401(k) Retirement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McCormick 401(k) Retirement Plan (the Plan) as of December 31, 2025 and 2024, and the related statement of changes in net assets available for benefits for the year ended December 31, 2025, and the related notes and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10200 Grand Central Avenue ● Suite 250 ● Owings Mills ● Maryland 21117 ● P 410-584-0060 ● F 410-584-0061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supplemental information in the accompanying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Owings Mills,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5715</wp:posOffset>
            </wp:positionV>
            <wp:extent cx="188595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10200 Grand Central Avenue ● Suite 250 ● Owings Mills ● Maryland 21117 ● P 410-584-0060 ● F 410-584-0061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3051F2"/>
                <w:w w:val="97"/>
              </w:rPr>
              <w:t>Table of Contents</w:t>
            </w:r>
          </w:p>
        </w:tc>
      </w:tr>
      <w:tr>
        <w:trPr>
          <w:trHeight w:val="831"/>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MCCORMICK 401(K) RETIREMENT PLAN</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Borders>
              <w:top w:val="single" w:sz="8" w:color="3051F2"/>
            </w:tcBorders>
          </w:tcPr>
          <w:p>
            <w:pPr>
              <w:spacing w:after="0"/>
              <w:rPr>
                <w:sz w:val="24"/>
                <w:szCs w:val="24"/>
                <w:color w:val="auto"/>
              </w:rPr>
            </w:pPr>
          </w:p>
        </w:tc>
        <w:tc>
          <w:tcPr>
            <w:tcW w:w="720" w:type="dxa"/>
            <w:vAlign w:val="bottom"/>
            <w:tcBorders>
              <w:top w:val="single" w:sz="8" w:color="3051F2"/>
            </w:tcBorders>
          </w:tcPr>
          <w:p>
            <w:pPr>
              <w:spacing w:after="0"/>
              <w:rPr>
                <w:sz w:val="24"/>
                <w:szCs w:val="24"/>
                <w:color w:val="auto"/>
              </w:rPr>
            </w:pPr>
          </w:p>
        </w:tc>
      </w:tr>
      <w:tr>
        <w:trPr>
          <w:trHeight w:val="35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53"/>
        </w:trPr>
        <w:tc>
          <w:tcPr>
            <w:tcW w:w="67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6740" w:type="dxa"/>
            <w:vAlign w:val="bottom"/>
            <w:tcBorders>
              <w:bottom w:val="single" w:sz="8" w:color="CCEEFF"/>
            </w:tcBorders>
            <w:shd w:val="clear" w:color="auto" w:fill="CCEEFF"/>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720" w:type="dxa"/>
            <w:vAlign w:val="bottom"/>
          </w:tcPr>
          <w:p>
            <w:pPr>
              <w:spacing w:after="0"/>
              <w:rPr>
                <w:sz w:val="20"/>
                <w:szCs w:val="20"/>
                <w:color w:val="auto"/>
              </w:rPr>
            </w:pPr>
          </w:p>
        </w:tc>
      </w:tr>
      <w:tr>
        <w:trPr>
          <w:trHeight w:val="230"/>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Investments – at fair value, participant-directed:</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70"/>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McCormick &amp; Company, Incorporated common stock fund</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124,767,937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155,733,559</w:t>
            </w:r>
          </w:p>
        </w:tc>
        <w:tc>
          <w:tcPr>
            <w:tcW w:w="720" w:type="dxa"/>
            <w:vAlign w:val="bottom"/>
          </w:tcPr>
          <w:p>
            <w:pPr>
              <w:spacing w:after="0"/>
              <w:rPr>
                <w:sz w:val="23"/>
                <w:szCs w:val="23"/>
                <w:color w:val="auto"/>
              </w:rPr>
            </w:pPr>
          </w:p>
        </w:tc>
      </w:tr>
      <w:tr>
        <w:trPr>
          <w:trHeight w:val="229"/>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7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funds</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255,579,504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217,898,511</w:t>
            </w:r>
          </w:p>
        </w:tc>
        <w:tc>
          <w:tcPr>
            <w:tcW w:w="720" w:type="dxa"/>
            <w:vAlign w:val="bottom"/>
          </w:tcPr>
          <w:p>
            <w:pPr>
              <w:spacing w:after="0"/>
              <w:rPr>
                <w:sz w:val="23"/>
                <w:szCs w:val="23"/>
                <w:color w:val="auto"/>
              </w:rPr>
            </w:pPr>
          </w:p>
        </w:tc>
      </w:tr>
      <w:tr>
        <w:trPr>
          <w:trHeight w:val="27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Bond funds</w:t>
            </w: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33,019,340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30,157,030</w:t>
            </w:r>
          </w:p>
        </w:tc>
        <w:tc>
          <w:tcPr>
            <w:tcW w:w="720" w:type="dxa"/>
            <w:vAlign w:val="bottom"/>
          </w:tcPr>
          <w:p>
            <w:pPr>
              <w:spacing w:after="0"/>
              <w:rPr>
                <w:sz w:val="23"/>
                <w:szCs w:val="23"/>
                <w:color w:val="auto"/>
              </w:rPr>
            </w:pPr>
          </w:p>
        </w:tc>
      </w:tr>
      <w:tr>
        <w:trPr>
          <w:trHeight w:val="270"/>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Pooled, common and collective funds at net asset value</w:t>
            </w: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619,812,795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534,877,219</w:t>
            </w:r>
          </w:p>
        </w:tc>
        <w:tc>
          <w:tcPr>
            <w:tcW w:w="720" w:type="dxa"/>
            <w:vAlign w:val="bottom"/>
          </w:tcPr>
          <w:p>
            <w:pPr>
              <w:spacing w:after="0"/>
              <w:rPr>
                <w:sz w:val="23"/>
                <w:szCs w:val="23"/>
                <w:color w:val="auto"/>
              </w:rPr>
            </w:pPr>
          </w:p>
        </w:tc>
      </w:tr>
      <w:tr>
        <w:trPr>
          <w:trHeight w:val="263"/>
        </w:trPr>
        <w:tc>
          <w:tcPr>
            <w:tcW w:w="6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1,033,179,576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938,666,319</w:t>
            </w:r>
          </w:p>
        </w:tc>
        <w:tc>
          <w:tcPr>
            <w:tcW w:w="720" w:type="dxa"/>
            <w:vAlign w:val="bottom"/>
          </w:tcPr>
          <w:p>
            <w:pPr>
              <w:spacing w:after="0"/>
              <w:rPr>
                <w:sz w:val="22"/>
                <w:szCs w:val="22"/>
                <w:color w:val="auto"/>
              </w:rPr>
            </w:pPr>
          </w:p>
        </w:tc>
      </w:tr>
      <w:tr>
        <w:trPr>
          <w:trHeight w:val="210"/>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Receivables: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7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14,961,576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14,458,771</w:t>
            </w:r>
          </w:p>
        </w:tc>
        <w:tc>
          <w:tcPr>
            <w:tcW w:w="720" w:type="dxa"/>
            <w:vAlign w:val="bottom"/>
          </w:tcPr>
          <w:p>
            <w:pPr>
              <w:spacing w:after="0"/>
              <w:rPr>
                <w:sz w:val="23"/>
                <w:szCs w:val="23"/>
                <w:color w:val="auto"/>
              </w:rPr>
            </w:pPr>
          </w:p>
        </w:tc>
      </w:tr>
      <w:tr>
        <w:trPr>
          <w:trHeight w:val="27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14,899,473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14,556,336</w:t>
            </w:r>
          </w:p>
        </w:tc>
        <w:tc>
          <w:tcPr>
            <w:tcW w:w="720" w:type="dxa"/>
            <w:vAlign w:val="bottom"/>
          </w:tcPr>
          <w:p>
            <w:pPr>
              <w:spacing w:after="0"/>
              <w:rPr>
                <w:sz w:val="23"/>
                <w:szCs w:val="23"/>
                <w:color w:val="auto"/>
              </w:rPr>
            </w:pPr>
          </w:p>
        </w:tc>
      </w:tr>
      <w:tr>
        <w:trPr>
          <w:trHeight w:val="27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Employee contributions</w:t>
            </w:r>
          </w:p>
        </w:tc>
        <w:tc>
          <w:tcPr>
            <w:tcW w:w="4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533,023</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507,536</w:t>
            </w:r>
          </w:p>
        </w:tc>
        <w:tc>
          <w:tcPr>
            <w:tcW w:w="720" w:type="dxa"/>
            <w:vAlign w:val="bottom"/>
          </w:tcPr>
          <w:p>
            <w:pPr>
              <w:spacing w:after="0"/>
              <w:rPr>
                <w:sz w:val="23"/>
                <w:szCs w:val="23"/>
                <w:color w:val="auto"/>
              </w:rPr>
            </w:pPr>
          </w:p>
        </w:tc>
      </w:tr>
      <w:tr>
        <w:trPr>
          <w:trHeight w:val="263"/>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Receivables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30,394,072</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29,522,643</w:t>
            </w:r>
          </w:p>
        </w:tc>
        <w:tc>
          <w:tcPr>
            <w:tcW w:w="720" w:type="dxa"/>
            <w:vAlign w:val="bottom"/>
          </w:tcPr>
          <w:p>
            <w:pPr>
              <w:spacing w:after="0"/>
              <w:rPr>
                <w:sz w:val="22"/>
                <w:szCs w:val="22"/>
                <w:color w:val="auto"/>
              </w:rPr>
            </w:pPr>
          </w:p>
        </w:tc>
      </w:tr>
      <w:tr>
        <w:trPr>
          <w:trHeight w:val="250"/>
        </w:trPr>
        <w:tc>
          <w:tcPr>
            <w:tcW w:w="67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20" w:type="dxa"/>
            <w:vAlign w:val="bottom"/>
          </w:tcPr>
          <w:p>
            <w:pPr>
              <w:spacing w:after="0"/>
              <w:rPr>
                <w:sz w:val="21"/>
                <w:szCs w:val="21"/>
                <w:color w:val="auto"/>
              </w:rPr>
            </w:pPr>
          </w:p>
        </w:tc>
      </w:tr>
      <w:tr>
        <w:trPr>
          <w:trHeight w:val="288"/>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1,063,573,648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968,188,962</w:t>
            </w:r>
          </w:p>
        </w:tc>
        <w:tc>
          <w:tcPr>
            <w:tcW w:w="720" w:type="dxa"/>
            <w:vAlign w:val="bottom"/>
          </w:tcPr>
          <w:p>
            <w:pPr>
              <w:spacing w:after="0"/>
              <w:rPr>
                <w:sz w:val="24"/>
                <w:szCs w:val="24"/>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3051F2"/>
                <w:w w:val="97"/>
              </w:rPr>
              <w:t>Table of Contents</w:t>
            </w:r>
          </w:p>
        </w:tc>
      </w:tr>
      <w:tr>
        <w:trPr>
          <w:trHeight w:val="831"/>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MCCORMICK 401(K) RETIREMENT PLAN</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r>
      <w:tr>
        <w:trPr>
          <w:trHeight w:val="35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8"/>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67"/>
        </w:trPr>
        <w:tc>
          <w:tcPr>
            <w:tcW w:w="9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9"/>
        </w:trPr>
        <w:tc>
          <w:tcPr>
            <w:tcW w:w="9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9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income:</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0"/>
        </w:trPr>
        <w:tc>
          <w:tcPr>
            <w:tcW w:w="9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Dividends and interest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8,548,644</w:t>
            </w:r>
          </w:p>
        </w:tc>
        <w:tc>
          <w:tcPr>
            <w:tcW w:w="420" w:type="dxa"/>
            <w:vAlign w:val="bottom"/>
          </w:tcPr>
          <w:p>
            <w:pPr>
              <w:spacing w:after="0"/>
              <w:rPr>
                <w:sz w:val="23"/>
                <w:szCs w:val="23"/>
                <w:color w:val="auto"/>
              </w:rPr>
            </w:pPr>
          </w:p>
        </w:tc>
      </w:tr>
      <w:tr>
        <w:trPr>
          <w:trHeight w:val="270"/>
        </w:trPr>
        <w:tc>
          <w:tcPr>
            <w:tcW w:w="9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appreciation of investments</w:t>
            </w: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111,286,231</w:t>
            </w:r>
          </w:p>
        </w:tc>
        <w:tc>
          <w:tcPr>
            <w:tcW w:w="420" w:type="dxa"/>
            <w:vAlign w:val="bottom"/>
          </w:tcPr>
          <w:p>
            <w:pPr>
              <w:spacing w:after="0"/>
              <w:rPr>
                <w:sz w:val="23"/>
                <w:szCs w:val="23"/>
                <w:color w:val="auto"/>
              </w:rPr>
            </w:pPr>
          </w:p>
        </w:tc>
      </w:tr>
      <w:tr>
        <w:trPr>
          <w:trHeight w:val="264"/>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income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119,834,875</w:t>
            </w:r>
          </w:p>
        </w:tc>
        <w:tc>
          <w:tcPr>
            <w:tcW w:w="420" w:type="dxa"/>
            <w:vAlign w:val="bottom"/>
          </w:tcPr>
          <w:p>
            <w:pPr>
              <w:spacing w:after="0"/>
              <w:rPr>
                <w:sz w:val="22"/>
                <w:szCs w:val="22"/>
                <w:color w:val="auto"/>
              </w:rPr>
            </w:pPr>
          </w:p>
        </w:tc>
      </w:tr>
      <w:tr>
        <w:trPr>
          <w:trHeight w:val="250"/>
        </w:trPr>
        <w:tc>
          <w:tcPr>
            <w:tcW w:w="9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1,158,364</w:t>
            </w:r>
          </w:p>
        </w:tc>
        <w:tc>
          <w:tcPr>
            <w:tcW w:w="420" w:type="dxa"/>
            <w:vAlign w:val="bottom"/>
          </w:tcPr>
          <w:p>
            <w:pPr>
              <w:spacing w:after="0"/>
              <w:rPr>
                <w:sz w:val="23"/>
                <w:szCs w:val="23"/>
                <w:color w:val="auto"/>
              </w:rPr>
            </w:pPr>
          </w:p>
        </w:tc>
      </w:tr>
      <w:tr>
        <w:trPr>
          <w:trHeight w:val="250"/>
        </w:trPr>
        <w:tc>
          <w:tcPr>
            <w:tcW w:w="9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142,323</w:t>
            </w:r>
          </w:p>
        </w:tc>
        <w:tc>
          <w:tcPr>
            <w:tcW w:w="420" w:type="dxa"/>
            <w:vAlign w:val="bottom"/>
          </w:tcPr>
          <w:p>
            <w:pPr>
              <w:spacing w:after="0"/>
              <w:rPr>
                <w:sz w:val="23"/>
                <w:szCs w:val="23"/>
                <w:color w:val="auto"/>
              </w:rPr>
            </w:pPr>
          </w:p>
        </w:tc>
      </w:tr>
      <w:tr>
        <w:trPr>
          <w:trHeight w:val="250"/>
        </w:trPr>
        <w:tc>
          <w:tcPr>
            <w:tcW w:w="9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tcPr>
          <w:p>
            <w:pPr>
              <w:spacing w:after="0"/>
              <w:rPr>
                <w:sz w:val="19"/>
                <w:szCs w:val="19"/>
                <w:color w:val="auto"/>
              </w:rPr>
            </w:pPr>
          </w:p>
        </w:tc>
      </w:tr>
      <w:tr>
        <w:trPr>
          <w:trHeight w:val="270"/>
        </w:trPr>
        <w:tc>
          <w:tcPr>
            <w:tcW w:w="9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Employer contributions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34,100,738</w:t>
            </w:r>
          </w:p>
        </w:tc>
        <w:tc>
          <w:tcPr>
            <w:tcW w:w="420" w:type="dxa"/>
            <w:vAlign w:val="bottom"/>
          </w:tcPr>
          <w:p>
            <w:pPr>
              <w:spacing w:after="0"/>
              <w:rPr>
                <w:sz w:val="23"/>
                <w:szCs w:val="23"/>
                <w:color w:val="auto"/>
              </w:rPr>
            </w:pPr>
          </w:p>
        </w:tc>
      </w:tr>
      <w:tr>
        <w:trPr>
          <w:trHeight w:val="270"/>
        </w:trPr>
        <w:tc>
          <w:tcPr>
            <w:tcW w:w="9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Employee contributions</w:t>
            </w:r>
          </w:p>
        </w:tc>
        <w:tc>
          <w:tcPr>
            <w:tcW w:w="4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37,391,536</w:t>
            </w:r>
          </w:p>
        </w:tc>
        <w:tc>
          <w:tcPr>
            <w:tcW w:w="420" w:type="dxa"/>
            <w:vAlign w:val="bottom"/>
          </w:tcPr>
          <w:p>
            <w:pPr>
              <w:spacing w:after="0"/>
              <w:rPr>
                <w:sz w:val="23"/>
                <w:szCs w:val="23"/>
                <w:color w:val="auto"/>
              </w:rPr>
            </w:pPr>
          </w:p>
        </w:tc>
      </w:tr>
      <w:tr>
        <w:trPr>
          <w:trHeight w:val="270"/>
        </w:trPr>
        <w:tc>
          <w:tcPr>
            <w:tcW w:w="9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Rollovers</w:t>
            </w: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6,641,608</w:t>
            </w:r>
          </w:p>
        </w:tc>
        <w:tc>
          <w:tcPr>
            <w:tcW w:w="420" w:type="dxa"/>
            <w:vAlign w:val="bottom"/>
          </w:tcPr>
          <w:p>
            <w:pPr>
              <w:spacing w:after="0"/>
              <w:rPr>
                <w:sz w:val="23"/>
                <w:szCs w:val="23"/>
                <w:color w:val="auto"/>
              </w:rPr>
            </w:pPr>
          </w:p>
        </w:tc>
      </w:tr>
      <w:tr>
        <w:trPr>
          <w:trHeight w:val="26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contributions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78,133,882</w:t>
            </w:r>
          </w:p>
        </w:tc>
        <w:tc>
          <w:tcPr>
            <w:tcW w:w="420" w:type="dxa"/>
            <w:vAlign w:val="bottom"/>
          </w:tcPr>
          <w:p>
            <w:pPr>
              <w:spacing w:after="0"/>
              <w:rPr>
                <w:sz w:val="22"/>
                <w:szCs w:val="22"/>
                <w:color w:val="auto"/>
              </w:rPr>
            </w:pPr>
          </w:p>
        </w:tc>
      </w:tr>
      <w:tr>
        <w:trPr>
          <w:trHeight w:val="263"/>
        </w:trPr>
        <w:tc>
          <w:tcPr>
            <w:tcW w:w="90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199,269,444</w:t>
            </w:r>
          </w:p>
        </w:tc>
        <w:tc>
          <w:tcPr>
            <w:tcW w:w="420" w:type="dxa"/>
            <w:vAlign w:val="bottom"/>
          </w:tcPr>
          <w:p>
            <w:pPr>
              <w:spacing w:after="0"/>
              <w:rPr>
                <w:sz w:val="22"/>
                <w:szCs w:val="22"/>
                <w:color w:val="auto"/>
              </w:rPr>
            </w:pPr>
          </w:p>
        </w:tc>
      </w:tr>
      <w:tr>
        <w:trPr>
          <w:trHeight w:val="250"/>
        </w:trPr>
        <w:tc>
          <w:tcPr>
            <w:tcW w:w="9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20" w:type="dxa"/>
            <w:vAlign w:val="bottom"/>
          </w:tcPr>
          <w:p>
            <w:pPr>
              <w:spacing w:after="0"/>
              <w:rPr>
                <w:sz w:val="21"/>
                <w:szCs w:val="21"/>
                <w:color w:val="auto"/>
              </w:rPr>
            </w:pP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Participant withdrawals</w:t>
            </w:r>
          </w:p>
        </w:tc>
        <w:tc>
          <w:tcPr>
            <w:tcW w:w="4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103,076,242</w:t>
            </w:r>
          </w:p>
        </w:tc>
        <w:tc>
          <w:tcPr>
            <w:tcW w:w="420" w:type="dxa"/>
            <w:vAlign w:val="bottom"/>
          </w:tcPr>
          <w:p>
            <w:pPr>
              <w:spacing w:after="0"/>
              <w:rPr>
                <w:sz w:val="23"/>
                <w:szCs w:val="23"/>
                <w:color w:val="auto"/>
              </w:rPr>
            </w:pPr>
          </w:p>
        </w:tc>
      </w:tr>
      <w:tr>
        <w:trPr>
          <w:trHeight w:val="27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808,516</w:t>
            </w:r>
          </w:p>
        </w:tc>
        <w:tc>
          <w:tcPr>
            <w:tcW w:w="420" w:type="dxa"/>
            <w:vAlign w:val="bottom"/>
          </w:tcPr>
          <w:p>
            <w:pPr>
              <w:spacing w:after="0"/>
              <w:rPr>
                <w:sz w:val="23"/>
                <w:szCs w:val="23"/>
                <w:color w:val="auto"/>
              </w:rPr>
            </w:pPr>
          </w:p>
        </w:tc>
      </w:tr>
      <w:tr>
        <w:trPr>
          <w:trHeight w:val="263"/>
        </w:trPr>
        <w:tc>
          <w:tcPr>
            <w:tcW w:w="9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103,884,758</w:t>
            </w:r>
          </w:p>
        </w:tc>
        <w:tc>
          <w:tcPr>
            <w:tcW w:w="420" w:type="dxa"/>
            <w:vAlign w:val="bottom"/>
          </w:tcPr>
          <w:p>
            <w:pPr>
              <w:spacing w:after="0"/>
              <w:rPr>
                <w:sz w:val="22"/>
                <w:szCs w:val="22"/>
                <w:color w:val="auto"/>
              </w:rPr>
            </w:pPr>
          </w:p>
        </w:tc>
      </w:tr>
      <w:tr>
        <w:trPr>
          <w:trHeight w:val="250"/>
        </w:trPr>
        <w:tc>
          <w:tcPr>
            <w:tcW w:w="9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0"/>
        </w:trPr>
        <w:tc>
          <w:tcPr>
            <w:tcW w:w="9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increase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95,384,686</w:t>
            </w:r>
          </w:p>
        </w:tc>
        <w:tc>
          <w:tcPr>
            <w:tcW w:w="420" w:type="dxa"/>
            <w:vAlign w:val="bottom"/>
          </w:tcPr>
          <w:p>
            <w:pPr>
              <w:spacing w:after="0"/>
              <w:rPr>
                <w:sz w:val="23"/>
                <w:szCs w:val="23"/>
                <w:color w:val="auto"/>
              </w:rPr>
            </w:pPr>
          </w:p>
        </w:tc>
      </w:tr>
      <w:tr>
        <w:trPr>
          <w:trHeight w:val="270"/>
        </w:trPr>
        <w:tc>
          <w:tcPr>
            <w:tcW w:w="90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Net Assets Available for Benefits, Beginning of Year</w:t>
            </w: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968,188,962</w:t>
            </w:r>
          </w:p>
        </w:tc>
        <w:tc>
          <w:tcPr>
            <w:tcW w:w="420" w:type="dxa"/>
            <w:vAlign w:val="bottom"/>
          </w:tcPr>
          <w:p>
            <w:pPr>
              <w:spacing w:after="0"/>
              <w:rPr>
                <w:sz w:val="23"/>
                <w:szCs w:val="23"/>
                <w:color w:val="auto"/>
              </w:rPr>
            </w:pPr>
          </w:p>
        </w:tc>
      </w:tr>
      <w:tr>
        <w:trPr>
          <w:trHeight w:val="288"/>
        </w:trPr>
        <w:tc>
          <w:tcPr>
            <w:tcW w:w="90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Assets Available for Benefits, End of Year</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1,063,573,648</w:t>
            </w:r>
          </w:p>
        </w:tc>
        <w:tc>
          <w:tcPr>
            <w:tcW w:w="420" w:type="dxa"/>
            <w:vAlign w:val="bottom"/>
          </w:tcPr>
          <w:p>
            <w:pPr>
              <w:spacing w:after="0"/>
              <w:rPr>
                <w:sz w:val="24"/>
                <w:szCs w:val="24"/>
                <w:color w:val="auto"/>
              </w:rPr>
            </w:pP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this financial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MCCORMICK 401(K) RETIREMENT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ind w:left="340" w:right="8400" w:hanging="332"/>
        <w:spacing w:after="0" w:line="503"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General</w:t>
      </w: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McCormick 401(k) Retirement Plan (the Plan) is sponsored by McCormick &amp; Company, Incorporated (the Company, McCormick or the Plan Sponsor), which incorporates a 401(k) savings and investment option. The Plan is a defined contribution plan covering substantially all non-union U.S. employees of the Company and participating subsidiaries. The Plan is subject to the provisions of the Employee Retirement Income Security Act of 1974 (ERISA).</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McCormick &amp; Company, Incorporated common stock fund invests principally in common stock of the Plan Sponsor. The Plan provides that the McCormick &amp; Company, Incorporated common stock fund investment option is designated as an employee stock ownership plan (ESOP). This designation allows participants investing in McCormick common stock to elect to receive, in cash, dividends that are paid on McCormick common stock held in their 401(k) retirement plan accounts. Dividends may also be reinvested.</w:t>
      </w:r>
    </w:p>
    <w:p>
      <w:pPr>
        <w:spacing w:after="0" w:line="17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description of the Plan provides only general information. Further information about the Plan agreement, eligible employees, the vesting provisions, and investment alternatives are contained in the Plan document.</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Participating employees contribute to the Plan through payroll deductions in amounts ranging from 1% to 70% of their earnings, subject to certain limitations. The Company and participating subsidiaries provide a matching contribution equal to 100% of the first 3% of an employee’s contribution and 66-2/3% on the next 3% of the employee’s contribution. Matching Plan contributions are applied as employee contributions occur. Employees are automatically enrolled in the 401(k) plan at 2%; however, they can opt out or elect to change the percentage at any time. If the employee does not make a positive election to change the percentage, the contribution rate is increased by 1% per year (up to a maximum of 10% or the IRS contribution limit). McCormick also makes an annual profit sharing contribution of 3% of eligible earnings to participants’ accounts if participants are employed at the end of the Plan’s year end. The profit sharing contribution is applicable to all eligible employees.</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elective contributions, as well as the Company's matching contributions, profit sharing contributions and transition credit contributions are invested in the Plan's investment funds as directed by the participant. In the absence of direction from the participant, the account is invested in an age-appropriate target date fund.</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 Accounts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participant’s account is credited with the participant’s contribution, the employer’s contribution made on their behalf, plus a proportionate interest in the investment earnings of the funds in which the contributions are invested. The benefit to which a participant is entitled is the benefit that can be provided from the participant’s vested account balance.</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are immediately vested in their contributions, the Company match, and all related earnings. Any applicable 3% annual profit sharing and transition credit contributions vest when an employee has 3 years of service or reaches age 55, if sooner.</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are permitted to take loans from their account balances, subject to a $500 minimum. The maximum of any loan cannot exceed one-half of the participant’s contributed account balance or $50,000, less the highest outstanding loan balance during the prior 12 months, whichever is less. The interest rate applied to the loans is the current prime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lending rate +1%, or such other rate as is prescribed based on periodic evaluations by the Company. Current participant loans bear interest at rates ranging from 4.25% to 9.50% and are secured by the participant’s account.</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Loan repayments, including interest, are made by participants through payroll deductions over loan terms of up to five years. Longer loan terms are available for loans taken to purchase, construct, reconstruct, or substantially rehabilitate a primary home for the participant.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Participants may choose to receive account distributions either in the form of a lump sum payment or installments over a period of time as defined in the Plan document.</w:t>
      </w:r>
    </w:p>
    <w:p>
      <w:pPr>
        <w:spacing w:after="0" w:line="16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Upon termination of service, a participant with an account balance greater than $5,000, may elect to leave his or her account balance invested in the Plan, elect to rollover his or her entire balance to an Individual Retirement Account (IRA) or another qualified plan, elect to receive a lump-sum payment equal to his or her entire balance or elect annual installments to extend from two to eight years. Upon termination of service, a participant with an account balance less than $5,000, may elect to rollover his or her entire balance to an IRA or another qualified plan or elect to receive a lump-sum payment equal to his or her entire balance. In the absence of instruction from a participant, balances less than $1,000 automatically will be paid directly to the participant and those greater than $1,000 will be rolled over to an IRA designated by the Plan Administrator.</w:t>
      </w:r>
    </w:p>
    <w:p>
      <w:pPr>
        <w:spacing w:after="0" w:line="187"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The Setting Every Community Up for Retirement Enhancement (SECURE) Act was enacted in December 2019, and became effective January 1, 2020. The SECURE Act was designed to encourage investing for retirement by increasing the required minimum distribution age, allowing part-time employee enrollment, and offering annuity options for certain tax-qualified retirement plans.</w:t>
      </w:r>
    </w:p>
    <w:p>
      <w:pPr>
        <w:spacing w:after="0" w:line="203" w:lineRule="exact"/>
        <w:rPr>
          <w:sz w:val="20"/>
          <w:szCs w:val="20"/>
          <w:color w:val="auto"/>
        </w:rPr>
      </w:pPr>
    </w:p>
    <w:p>
      <w:pPr>
        <w:jc w:val="both"/>
        <w:ind w:left="340" w:right="360"/>
        <w:spacing w:after="0" w:line="266" w:lineRule="auto"/>
        <w:rPr>
          <w:sz w:val="20"/>
          <w:szCs w:val="20"/>
          <w:color w:val="auto"/>
        </w:rPr>
      </w:pPr>
      <w:r>
        <w:rPr>
          <w:rFonts w:ascii="Times New Roman" w:cs="Times New Roman" w:eastAsia="Times New Roman" w:hAnsi="Times New Roman"/>
          <w:sz w:val="18"/>
          <w:szCs w:val="18"/>
          <w:color w:val="auto"/>
        </w:rPr>
        <w:t>SECURE Act 2.0 was signed into the 2023 Consolidations Appropriations Act under the Securing a Strong Retirement Act on December 29, 2022 with similar retirement provisions designed to increase retirement savings, facilitate access to retirement savings, encourage employees to save for retirement, and lower employers’ cost of offering and funding retirement plans.</w:t>
      </w:r>
    </w:p>
    <w:p>
      <w:pPr>
        <w:spacing w:after="0" w:line="203" w:lineRule="exact"/>
        <w:rPr>
          <w:sz w:val="20"/>
          <w:szCs w:val="20"/>
          <w:color w:val="auto"/>
        </w:rPr>
      </w:pPr>
    </w:p>
    <w:p>
      <w:pPr>
        <w:ind w:left="340" w:right="600"/>
        <w:spacing w:after="0" w:line="282" w:lineRule="auto"/>
        <w:rPr>
          <w:sz w:val="20"/>
          <w:szCs w:val="20"/>
          <w:color w:val="auto"/>
        </w:rPr>
      </w:pPr>
      <w:r>
        <w:rPr>
          <w:rFonts w:ascii="Times New Roman" w:cs="Times New Roman" w:eastAsia="Times New Roman" w:hAnsi="Times New Roman"/>
          <w:sz w:val="18"/>
          <w:szCs w:val="18"/>
          <w:color w:val="auto"/>
        </w:rPr>
        <w:t>The Plan’s management and those charged with governance have a policy to incorporate the SECURE Act changes in its Plan document by the deadlines prescribed in the legislation.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Forfeited Accounts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forfeited non-vested accounts totaled $759,806 and $977,109, respectively. These accounts are used to reduce future employer contributions. During the year ended December 31, 2025, forfeitures of $977,109 were used to reduce employer contributions.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has no intentions to terminate the Plan; however, the Company reserves the right to terminate the Plan, or to reduce or cease contributions at any time if its Board of Directors determines that business, financial or other good causes make it necessary to do so. Also, the Company may amend the Plan at any time and in any respect, provided, however, that any such action will not deprive any participant or beneficiary under the Plan of any vested benefits. In the event of termination of the Plan, participants would become 100% vested in their accounts.</w:t>
      </w:r>
    </w:p>
    <w:p>
      <w:pPr>
        <w:spacing w:after="0" w:line="176" w:lineRule="exact"/>
        <w:rPr>
          <w:sz w:val="20"/>
          <w:szCs w:val="20"/>
          <w:color w:val="auto"/>
        </w:rPr>
      </w:pPr>
    </w:p>
    <w:p>
      <w:pPr>
        <w:ind w:left="340" w:right="6220" w:hanging="332"/>
        <w:spacing w:after="0" w:line="503" w:lineRule="auto"/>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Accounting</w:t>
      </w: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financial statements of the Plan are presented on the accrual basis of accounting in accordance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as of year-end and the changes therein and the disclosure of contingent assets and liabilities.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Securities and Income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are stated at fair value. Fair value is the price that would be received to sell an asset or paid to transfer a liability in an orderly transaction between market participants at the measurement date. Management determines the Plan's valuation policies utilizing information provided by the investment advisers, custodians and insurance companies. See Note 3 for discussion of fair value 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the accrual basis. Dividends are recorded on ex-dividend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traded on a national securities exchange are valued at the last reported sales price on the last business day of the Plan year. Investments for which no sale was reported on that date are valued at the last reported bid price. Mutual funds are valued at the closing price of the funds on the last day of the Plan year as quoted by the applicable fund issuer. Common and collective funds are valued by the issuer of the funds based on the fund managers’ estimate of the individual closing price of the funds on the last day of the Plan year as quoted by the applicable fund issuer.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appreciation in fair value of investments included in the accompanying Statement of Changes in Net Assets Available for Benefits includes realized gains or losses from the sale of investments and unrealized appreciation or depreciation in the fair value of investments. Expenses relating to the purchase or sale of investments are added to the cost or deducted from the proceeds.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McCormick &amp; Company, Incorporated common stock fund (the Fund) is tracked on a unitized basis. The Fund consists of shares of McCormick common stock voting and funds held in the Short-Term Investment Money Market Fund A sufficient to meet the Fund’s daily cash needs, and the Unitizing Fund allows for daily trades. The value of a unit reflects the combined market value of McCormick &amp; Company, Incorporated common stock and the cash investments held by the Fund. As of December 31, 2025, 6,920,556 units were outstanding with a value of approximately $18.03 per unit which is made from the fund holding 1,809,713 shares of McCormick common stock with an aggregate value of $123,083,490, and the Short-Term Investment Money Market Fund A with a value of $1,684,447. As of December 31, 2024, 7,770,804 units were outstanding with a value of approximately $20.04 per unit and the Fund held 2,029,324 shares of McCormick common stock with an aggregate value of $153,895,684, and the Short-Term Investment Money Market Fund A with a value of $1,837,875.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notes receivable from participants are reclassified as distributions based upon the terms of the Plan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and employer contributions are recorded in the period that the Plan Sponsor makes payroll deductions from the participant’s earnings.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profit sharing contributions are typically funded after the Plan year-end.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and withdrawals are recorded when 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Administrative expenses include trustee and custodian fees as well as other administrative expenses directly associated with the Plan. A maintenance fee is deducted from each participant’s account on a pro-rata basis for certain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administrative expenses of the Plan. Fees for individual services, such as withdrawals or loan initiation, are charged to and paid by the requesting participant.</w:t>
      </w:r>
    </w:p>
    <w:p>
      <w:pPr>
        <w:spacing w:after="0" w:line="15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investments are held in bank-administered trust funds. The custodial trustee of the Plan is Delaware Charter Guarantee &amp; Trust Company, conducting business as Principal Trust Company.</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investments (including investments bought, sold, or held throughout the year) appreciated in value during the year ended December 31,</w:t>
      </w:r>
    </w:p>
    <w:p>
      <w:pPr>
        <w:spacing w:after="0" w:line="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2025 as follows: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8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McCormick &amp; Company, Incorporated common stock fund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(14,814,310)</w:t>
            </w:r>
          </w:p>
        </w:tc>
      </w:tr>
      <w:tr>
        <w:trPr>
          <w:trHeight w:val="270"/>
        </w:trPr>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4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41,520,096</w:t>
            </w:r>
          </w:p>
        </w:tc>
      </w:tr>
      <w:tr>
        <w:trPr>
          <w:trHeight w:val="270"/>
        </w:trPr>
        <w:tc>
          <w:tcPr>
            <w:tcW w:w="8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Pooled, common and collective funds at net asset value</w:t>
            </w:r>
          </w:p>
        </w:tc>
        <w:tc>
          <w:tcPr>
            <w:tcW w:w="4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84,580,445</w:t>
            </w:r>
          </w:p>
        </w:tc>
      </w:tr>
      <w:tr>
        <w:trPr>
          <w:trHeight w:val="263"/>
        </w:trPr>
        <w:tc>
          <w:tcPr>
            <w:tcW w:w="87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111,286,231</w:t>
            </w:r>
          </w:p>
        </w:tc>
      </w:tr>
      <w:tr>
        <w:trPr>
          <w:trHeight w:val="20"/>
        </w:trPr>
        <w:tc>
          <w:tcPr>
            <w:tcW w:w="8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accompanying Statements of Net Assets Available for Benefits.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are described below:</w:t>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Level 1</w:t>
      </w:r>
    </w:p>
    <w:p>
      <w:pPr>
        <w:spacing w:after="0" w:line="3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Level 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Inputs to the valuation methodology are unadjusted quoted prices for identical assets or liabilities in active markets that the Plan has the ability to access.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Inputs to the valuation methodology include:</w:t>
      </w:r>
    </w:p>
    <w:p>
      <w:pPr>
        <w:spacing w:after="0" w:line="225" w:lineRule="exact"/>
        <w:rPr>
          <w:sz w:val="20"/>
          <w:szCs w:val="20"/>
          <w:color w:val="auto"/>
        </w:rPr>
      </w:pPr>
    </w:p>
    <w:p>
      <w:pPr>
        <w:ind w:left="300" w:hanging="297"/>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184" w:lineRule="exact"/>
        <w:rPr>
          <w:rFonts w:ascii="Times New Roman" w:cs="Times New Roman" w:eastAsia="Times New Roman" w:hAnsi="Times New Roman"/>
          <w:sz w:val="18"/>
          <w:szCs w:val="18"/>
          <w:color w:val="auto"/>
        </w:rPr>
      </w:pPr>
    </w:p>
    <w:p>
      <w:pPr>
        <w:ind w:left="300" w:hanging="297"/>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184" w:lineRule="exact"/>
        <w:rPr>
          <w:rFonts w:ascii="Times New Roman" w:cs="Times New Roman" w:eastAsia="Times New Roman" w:hAnsi="Times New Roman"/>
          <w:sz w:val="18"/>
          <w:szCs w:val="18"/>
          <w:color w:val="auto"/>
        </w:rPr>
      </w:pPr>
    </w:p>
    <w:p>
      <w:pPr>
        <w:ind w:left="300" w:hanging="297"/>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198" w:lineRule="exact"/>
        <w:rPr>
          <w:rFonts w:ascii="Times New Roman" w:cs="Times New Roman" w:eastAsia="Times New Roman" w:hAnsi="Times New Roman"/>
          <w:sz w:val="18"/>
          <w:szCs w:val="18"/>
          <w:color w:val="auto"/>
        </w:rPr>
      </w:pPr>
    </w:p>
    <w:p>
      <w:pPr>
        <w:ind w:left="300" w:right="1400" w:hanging="297"/>
        <w:spacing w:after="0" w:line="282" w:lineRule="auto"/>
        <w:tabs>
          <w:tab w:leader="none" w:pos="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121"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If the asset or liability has a specified (contractual) term, the Level 2 input must be observable for substantially the full term of the asset or liability.</w:t>
      </w:r>
    </w:p>
    <w:p>
      <w:pPr>
        <w:spacing w:after="0" w:line="200" w:lineRule="exact"/>
        <w:rPr>
          <w:sz w:val="20"/>
          <w:szCs w:val="20"/>
          <w:color w:val="auto"/>
        </w:rPr>
      </w:pPr>
    </w:p>
    <w:p>
      <w:pPr>
        <w:sectPr>
          <w:pgSz w:w="11900" w:h="16838" w:orient="portrait"/>
          <w:cols w:equalWidth="0" w:num="2">
            <w:col w:w="1440" w:space="520"/>
            <w:col w:w="9280"/>
          </w:cols>
          <w:pgMar w:left="320" w:top="121" w:right="339" w:bottom="1440" w:gutter="0" w:footer="0" w:header="0"/>
          <w:type w:val="continuous"/>
        </w:sectPr>
      </w:pPr>
    </w:p>
    <w:p>
      <w:pPr>
        <w:spacing w:after="0" w:line="56" w:lineRule="exact"/>
        <w:rPr>
          <w:sz w:val="20"/>
          <w:szCs w:val="20"/>
          <w:color w:val="auto"/>
        </w:rPr>
      </w:pPr>
    </w:p>
    <w:p>
      <w:pPr>
        <w:ind w:left="900"/>
        <w:spacing w:after="0"/>
        <w:tabs>
          <w:tab w:leader="none" w:pos="19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34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measured at fair value. There have been no changes in the methodologies used as of December 31, 2025 and 2024.</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 xml:space="preserve">Common Stocks: </w:t>
      </w:r>
      <w:r>
        <w:rPr>
          <w:rFonts w:ascii="Times New Roman" w:cs="Times New Roman" w:eastAsia="Times New Roman" w:hAnsi="Times New Roman"/>
          <w:sz w:val="18"/>
          <w:szCs w:val="18"/>
          <w:color w:val="auto"/>
        </w:rPr>
        <w:t>Valued at the closing price reported on the active market on which the individual securities are traded.</w:t>
      </w:r>
    </w:p>
    <w:p>
      <w:pPr>
        <w:spacing w:after="0" w:line="225"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8"/>
          <w:szCs w:val="18"/>
          <w:i w:val="1"/>
          <w:iCs w:val="1"/>
          <w:color w:val="auto"/>
        </w:rPr>
        <w:t>Pooled, common and collective funds</w:t>
      </w:r>
      <w:r>
        <w:rPr>
          <w:rFonts w:ascii="Times New Roman" w:cs="Times New Roman" w:eastAsia="Times New Roman" w:hAnsi="Times New Roman"/>
          <w:sz w:val="18"/>
          <w:szCs w:val="18"/>
          <w:color w:val="auto"/>
        </w:rPr>
        <w:t>: Valued at NAV of the underlying investments used as a practical expedient to estimate fair value. This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is not used when it is determined to be probable that the fund will sell the investment for an amount different than the reported NAV. The investment objectives and underlying investments of the collective trusts vary, as described below.</w:t>
      </w:r>
    </w:p>
    <w:p>
      <w:pPr>
        <w:spacing w:after="0" w:line="175"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The Galliard Stable Return Fund PI seeks safety of principal and consistency of returns by investing in fixed income portfolios wrapped by stable value fully benefit responsive contracts. Redemptions require a 12-month notice period.</w:t>
      </w:r>
    </w:p>
    <w:p>
      <w:pPr>
        <w:spacing w:after="0" w:line="162"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The Russell Small Mid Cap Index Class II Fund and William Blair Small-Mid Cap Core Collective Investment Trust seek to provide long-term capital growth by investing in a diversified portfolio of small and mid-cap U.S. equities. Redemptions are permitted daily with a one-day notice period.</w:t>
      </w:r>
    </w:p>
    <w:p>
      <w:pPr>
        <w:spacing w:after="0" w:line="162"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The T. Rowe Price Structured Research Trust F CIT seeks to approximate the risk and return characteristics of the S&amp;P 500 Index by investing in a diversified portfolio of large-cap U.S. equities. Redemptions are permitted daily with a one-day notice period.</w:t>
      </w:r>
    </w:p>
    <w:p>
      <w:pPr>
        <w:spacing w:after="0" w:line="162"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The Vanguard Target Trusts seek to provide long-term capital growth and income by investing in a mix of U.S. and international stock and bond funds with asset allocations gradually growing more conservative as they reach their target dates. Redemptions are permitted daily with a one-day notice period.</w:t>
      </w:r>
    </w:p>
    <w:p>
      <w:pPr>
        <w:spacing w:after="0" w:line="174"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8"/>
          <w:szCs w:val="18"/>
          <w:i w:val="1"/>
          <w:iCs w:val="1"/>
          <w:color w:val="auto"/>
        </w:rPr>
        <w:t>Mutual Funds</w:t>
      </w:r>
      <w:r>
        <w:rPr>
          <w:rFonts w:ascii="Times New Roman" w:cs="Times New Roman" w:eastAsia="Times New Roman" w:hAnsi="Times New Roman"/>
          <w:sz w:val="18"/>
          <w:szCs w:val="18"/>
          <w:color w:val="auto"/>
        </w:rPr>
        <w:t>: Valued at the daily closing price as reported by the fund. Mutual funds held by the Plan are open end mutual funds that are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U.S. Securities and Exchange Commission (SEC). These funds are required to publish their daily net asset value (NAV) and to transact at that price. The mutual funds held by the Plan are deemed to be actively traded.</w:t>
      </w:r>
    </w:p>
    <w:p>
      <w:pPr>
        <w:spacing w:after="0" w:line="175"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6" w:lineRule="exact"/>
        <w:rPr>
          <w:sz w:val="20"/>
          <w:szCs w:val="20"/>
          <w:color w:val="auto"/>
        </w:rPr>
      </w:pPr>
    </w:p>
    <w:p>
      <w:pPr>
        <w:jc w:val="both"/>
        <w:ind w:left="8" w:right="80"/>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Plan had no financial assets that were subject to a level 2 or level 3 fair value measurement. The following table sets forth the fair value of the Plan’s Level 1 assets, within the fair value hierarchy, as well as the pooled, common and collective funds that are valued at net asset value, as of December 31, 2025 and 2024:</w:t>
      </w:r>
    </w:p>
    <w:p>
      <w:pPr>
        <w:spacing w:after="0" w:line="226" w:lineRule="exact"/>
        <w:rPr>
          <w:sz w:val="20"/>
          <w:szCs w:val="20"/>
          <w:color w:val="auto"/>
        </w:rPr>
      </w:pPr>
    </w:p>
    <w:tbl>
      <w:tblPr>
        <w:tblLayout w:type="fixed"/>
        <w:tblInd w:w="8"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Assets at Fair Value as of</w:t>
            </w:r>
          </w:p>
        </w:tc>
      </w:tr>
      <w:tr>
        <w:trPr>
          <w:trHeight w:val="27"/>
        </w:trPr>
        <w:tc>
          <w:tcPr>
            <w:tcW w:w="6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3"/>
        </w:trPr>
        <w:tc>
          <w:tcPr>
            <w:tcW w:w="6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2"/>
                <w:szCs w:val="22"/>
                <w:color w:val="auto"/>
              </w:rPr>
            </w:pP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8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70"/>
        </w:trPr>
        <w:tc>
          <w:tcPr>
            <w:tcW w:w="6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255,579,504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217,898,511</w:t>
            </w:r>
          </w:p>
        </w:tc>
      </w:tr>
      <w:tr>
        <w:trPr>
          <w:trHeight w:val="270"/>
        </w:trPr>
        <w:tc>
          <w:tcPr>
            <w:tcW w:w="6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Bond funds</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33,019,340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30,157,030</w:t>
            </w:r>
          </w:p>
        </w:tc>
      </w:tr>
      <w:tr>
        <w:trPr>
          <w:trHeight w:val="270"/>
        </w:trPr>
        <w:tc>
          <w:tcPr>
            <w:tcW w:w="68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McCormick &amp; Company, Incorporated common stock fund</w:t>
            </w:r>
          </w:p>
        </w:tc>
        <w:tc>
          <w:tcPr>
            <w:tcW w:w="1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124,767,937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155,733,559</w:t>
            </w:r>
          </w:p>
        </w:tc>
      </w:tr>
      <w:tr>
        <w:trPr>
          <w:trHeight w:val="263"/>
        </w:trPr>
        <w:tc>
          <w:tcPr>
            <w:tcW w:w="6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Level 1 assets in the fair value hierarchy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413,366,781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403,789,100</w:t>
            </w:r>
          </w:p>
        </w:tc>
      </w:tr>
      <w:tr>
        <w:trPr>
          <w:trHeight w:val="270"/>
        </w:trPr>
        <w:tc>
          <w:tcPr>
            <w:tcW w:w="6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Pooled, common and collective funds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619,812,795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534,877,219</w:t>
            </w:r>
          </w:p>
        </w:tc>
      </w:tr>
      <w:tr>
        <w:trPr>
          <w:trHeight w:val="288"/>
        </w:trPr>
        <w:tc>
          <w:tcPr>
            <w:tcW w:w="6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1,033,179,576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938,666,319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28" w:hanging="328"/>
        <w:spacing w:after="0" w:line="266" w:lineRule="auto"/>
        <w:tabs>
          <w:tab w:leader="none" w:pos="3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Subtopic 820-10 of ASC 820 Fair Value Measurement, certain investments that were measured at NAV per share (or its equivalent) have not been classified in the fair value hierarchy. The fair value amounts presented in this table are intended to permit reconciliation of fair value hierarchy to the line items presented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14" w:name="page15"/>
    <w:bookmarkEnd w:id="14"/>
    <w:p>
      <w:pPr>
        <w:ind w:left="9960"/>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PARTIES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holds investments in common stock of McCormick &amp; Company, Incorporated, the Plan Sponsor, and in funds managed by affiliates of Principal Trust Company, who served as trustee and custodian of the Plan during 2025. Dividends on McCormick &amp; Company, Incorporated common stock and income on investments in Principal Trust Company funds are at the same rates as non-affiliated holders of these securities. The Plan's dividend income from McCormick &amp; Company, Incorporated common stock in 2025 and 2024 was $3.5 million and $3.6 million, respectively.</w:t>
      </w:r>
    </w:p>
    <w:p>
      <w:pPr>
        <w:spacing w:after="0" w:line="17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portion of the administrative expenses were paid by the Plan Sponsor and reimbursed by the Plan during the year ended December 31, 2025. These transactions qualify as party-in-interest transactions, which are exempt from the prohibited transaction rules of ERISA.</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STATUS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Internal Revenue Service (IRS) has ruled that the Plan qualified under Section 401(a) of the Internal Revenue Code (IRC) in a letter, dated October 23, 2017, and is therefore not subject to tax under present income tax laws. The Plan has been amended since receiving the determination letter; however, the Plan administrator believes that the Plan is designed and is currently being operated in compliance with the applicable requirements of the IRC.</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Accounting principles generally accepted in the United States require Plan management to evaluate tax positions taken by the Plan and recognize a tax liability if the organization has taken an uncertain position that more likely than not would not be sustained upon examination by the IRS. The Plan administrator has concluded that as of December 31, 2025 and 2024, there are no uncertain positions taken or expected to be taken that would require recognition of a liability or disclosure in the financial statements.</w:t>
      </w:r>
    </w:p>
    <w:p>
      <w:pPr>
        <w:spacing w:after="0" w:line="17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is subject to routine audits by taxing jurisdictions; however, there are currently no audits for any tax periods in progress. The Plan administrator believes it is no longer subject to income tax examinations for years prior to 2022.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MCCORMICK 401(K) RETIREMENT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EIN 52-0408290, PN 004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25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w:t>
            </w:r>
          </w:p>
        </w:tc>
        <w:tc>
          <w:tcPr>
            <w:tcW w:w="66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(e)</w:t>
            </w:r>
          </w:p>
        </w:tc>
      </w:tr>
      <w:tr>
        <w:trPr>
          <w:trHeight w:val="243"/>
        </w:trPr>
        <w:tc>
          <w:tcPr>
            <w:tcW w:w="380" w:type="dxa"/>
            <w:vAlign w:val="bottom"/>
          </w:tcPr>
          <w:p>
            <w:pPr>
              <w:spacing w:after="0"/>
              <w:rPr>
                <w:sz w:val="21"/>
                <w:szCs w:val="21"/>
                <w:color w:val="auto"/>
              </w:rPr>
            </w:pPr>
          </w:p>
        </w:tc>
        <w:tc>
          <w:tcPr>
            <w:tcW w:w="25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Identity of Issue</w:t>
            </w:r>
          </w:p>
        </w:tc>
        <w:tc>
          <w:tcPr>
            <w:tcW w:w="664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Description of Investments</w:t>
            </w:r>
          </w:p>
        </w:tc>
        <w:tc>
          <w:tcPr>
            <w:tcW w:w="200" w:type="dxa"/>
            <w:vAlign w:val="bottom"/>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Current Value</w:t>
            </w:r>
          </w:p>
        </w:tc>
      </w:tr>
      <w:tr>
        <w:trPr>
          <w:trHeight w:val="27"/>
        </w:trPr>
        <w:tc>
          <w:tcPr>
            <w:tcW w:w="3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3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McCormick &amp; Company, Inc. common stock fund</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2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McCormick &amp; Company, Inc.</w:t>
            </w:r>
          </w:p>
        </w:tc>
        <w:tc>
          <w:tcPr>
            <w:tcW w:w="6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123,083,490</w:t>
            </w:r>
          </w:p>
        </w:tc>
      </w:tr>
      <w:tr>
        <w:trPr>
          <w:trHeight w:val="270"/>
        </w:trPr>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6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Short-Term Investment Money Market Fund A</w:t>
            </w:r>
          </w:p>
        </w:tc>
        <w:tc>
          <w:tcPr>
            <w:tcW w:w="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1,684,447</w:t>
            </w:r>
          </w:p>
        </w:tc>
      </w:tr>
      <w:tr>
        <w:trPr>
          <w:trHeight w:val="237"/>
        </w:trPr>
        <w:tc>
          <w:tcPr>
            <w:tcW w:w="3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McCormick &amp; Company, Inc. common stock fund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124,767,937</w:t>
            </w:r>
          </w:p>
        </w:tc>
      </w:tr>
      <w:tr>
        <w:trPr>
          <w:trHeight w:val="27"/>
        </w:trPr>
        <w:tc>
          <w:tcPr>
            <w:tcW w:w="3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38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6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Common and Collective Funds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SEI Trust Company</w:t>
            </w:r>
          </w:p>
        </w:tc>
        <w:tc>
          <w:tcPr>
            <w:tcW w:w="6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Galliard Stable Return Fund PI</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52,260,214</w:t>
            </w:r>
          </w:p>
        </w:tc>
      </w:tr>
      <w:tr>
        <w:trPr>
          <w:trHeight w:val="270"/>
        </w:trPr>
        <w:tc>
          <w:tcPr>
            <w:tcW w:w="380" w:type="dxa"/>
            <w:vAlign w:val="bottom"/>
          </w:tcPr>
          <w:p>
            <w:pPr>
              <w:spacing w:after="0"/>
              <w:rPr>
                <w:sz w:val="23"/>
                <w:szCs w:val="2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Street Global Advisors</w:t>
            </w:r>
          </w:p>
        </w:tc>
        <w:tc>
          <w:tcPr>
            <w:tcW w:w="6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Russell Small Mid Cap Index Class II Fund</w:t>
            </w: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51,978,969</w:t>
            </w:r>
          </w:p>
        </w:tc>
      </w:tr>
      <w:tr>
        <w:trPr>
          <w:trHeight w:val="270"/>
        </w:trPr>
        <w:tc>
          <w:tcPr>
            <w:tcW w:w="380" w:type="dxa"/>
            <w:vAlign w:val="bottom"/>
            <w:shd w:val="clear" w:color="auto" w:fill="CCEEFF"/>
          </w:tcPr>
          <w:p>
            <w:pPr>
              <w:spacing w:after="0"/>
              <w:rPr>
                <w:sz w:val="23"/>
                <w:szCs w:val="23"/>
                <w:color w:val="auto"/>
              </w:rPr>
            </w:pP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 Rowe Price</w:t>
            </w:r>
          </w:p>
        </w:tc>
        <w:tc>
          <w:tcPr>
            <w:tcW w:w="6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 Rowe Price Structured Research Trust F CIT</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81,116,311</w:t>
            </w:r>
          </w:p>
        </w:tc>
      </w:tr>
      <w:tr>
        <w:trPr>
          <w:trHeight w:val="270"/>
        </w:trPr>
        <w:tc>
          <w:tcPr>
            <w:tcW w:w="380" w:type="dxa"/>
            <w:vAlign w:val="bottom"/>
          </w:tcPr>
          <w:p>
            <w:pPr>
              <w:spacing w:after="0"/>
              <w:rPr>
                <w:sz w:val="23"/>
                <w:szCs w:val="2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William Blair</w:t>
            </w:r>
          </w:p>
        </w:tc>
        <w:tc>
          <w:tcPr>
            <w:tcW w:w="6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William Blair Small-Mid Cap Core Collective Investment Trust</w:t>
            </w: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25,740,713</w:t>
            </w:r>
          </w:p>
        </w:tc>
      </w:tr>
      <w:tr>
        <w:trPr>
          <w:trHeight w:val="270"/>
        </w:trPr>
        <w:tc>
          <w:tcPr>
            <w:tcW w:w="380" w:type="dxa"/>
            <w:vAlign w:val="bottom"/>
            <w:shd w:val="clear" w:color="auto" w:fill="CCEEFF"/>
          </w:tcPr>
          <w:p>
            <w:pPr>
              <w:spacing w:after="0"/>
              <w:rPr>
                <w:sz w:val="23"/>
                <w:szCs w:val="23"/>
                <w:color w:val="auto"/>
              </w:rPr>
            </w:pP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Vanguard Target Retirement Income Trust II</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10,292,578</w:t>
            </w:r>
          </w:p>
        </w:tc>
      </w:tr>
      <w:tr>
        <w:trPr>
          <w:trHeight w:val="270"/>
        </w:trPr>
        <w:tc>
          <w:tcPr>
            <w:tcW w:w="380" w:type="dxa"/>
            <w:vAlign w:val="bottom"/>
          </w:tcPr>
          <w:p>
            <w:pPr>
              <w:spacing w:after="0"/>
              <w:rPr>
                <w:sz w:val="23"/>
                <w:szCs w:val="2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Vanguard Target Retirement 2020 Trust II</w:t>
            </w: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5,752,248</w:t>
            </w:r>
          </w:p>
        </w:tc>
      </w:tr>
      <w:tr>
        <w:trPr>
          <w:trHeight w:val="270"/>
        </w:trPr>
        <w:tc>
          <w:tcPr>
            <w:tcW w:w="380" w:type="dxa"/>
            <w:vAlign w:val="bottom"/>
            <w:shd w:val="clear" w:color="auto" w:fill="CCEEFF"/>
          </w:tcPr>
          <w:p>
            <w:pPr>
              <w:spacing w:after="0"/>
              <w:rPr>
                <w:sz w:val="23"/>
                <w:szCs w:val="23"/>
                <w:color w:val="auto"/>
              </w:rPr>
            </w:pP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Vanguard Target Retirement 2025 Trust II</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37,453,536</w:t>
            </w:r>
          </w:p>
        </w:tc>
      </w:tr>
      <w:tr>
        <w:trPr>
          <w:trHeight w:val="270"/>
        </w:trPr>
        <w:tc>
          <w:tcPr>
            <w:tcW w:w="380" w:type="dxa"/>
            <w:vAlign w:val="bottom"/>
          </w:tcPr>
          <w:p>
            <w:pPr>
              <w:spacing w:after="0"/>
              <w:rPr>
                <w:sz w:val="23"/>
                <w:szCs w:val="2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Vanguard Target Retirement 2030 Trust II</w:t>
            </w: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43,659,226</w:t>
            </w:r>
          </w:p>
        </w:tc>
      </w:tr>
      <w:tr>
        <w:trPr>
          <w:trHeight w:val="270"/>
        </w:trPr>
        <w:tc>
          <w:tcPr>
            <w:tcW w:w="380" w:type="dxa"/>
            <w:vAlign w:val="bottom"/>
            <w:shd w:val="clear" w:color="auto" w:fill="CCEEFF"/>
          </w:tcPr>
          <w:p>
            <w:pPr>
              <w:spacing w:after="0"/>
              <w:rPr>
                <w:sz w:val="23"/>
                <w:szCs w:val="23"/>
                <w:color w:val="auto"/>
              </w:rPr>
            </w:pP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Vanguard Target Retirement 2035 Trust II</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72,482,595</w:t>
            </w:r>
          </w:p>
        </w:tc>
      </w:tr>
      <w:tr>
        <w:trPr>
          <w:trHeight w:val="270"/>
        </w:trPr>
        <w:tc>
          <w:tcPr>
            <w:tcW w:w="380" w:type="dxa"/>
            <w:vAlign w:val="bottom"/>
          </w:tcPr>
          <w:p>
            <w:pPr>
              <w:spacing w:after="0"/>
              <w:rPr>
                <w:sz w:val="23"/>
                <w:szCs w:val="2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Vanguard Target Retirement 2040 Trust II</w:t>
            </w: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42,250,838</w:t>
            </w:r>
          </w:p>
        </w:tc>
      </w:tr>
      <w:tr>
        <w:trPr>
          <w:trHeight w:val="270"/>
        </w:trPr>
        <w:tc>
          <w:tcPr>
            <w:tcW w:w="380" w:type="dxa"/>
            <w:vAlign w:val="bottom"/>
            <w:shd w:val="clear" w:color="auto" w:fill="CCEEFF"/>
          </w:tcPr>
          <w:p>
            <w:pPr>
              <w:spacing w:after="0"/>
              <w:rPr>
                <w:sz w:val="23"/>
                <w:szCs w:val="23"/>
                <w:color w:val="auto"/>
              </w:rPr>
            </w:pP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Vanguard Target Retirement 2045 Trust II</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74,006,288</w:t>
            </w:r>
          </w:p>
        </w:tc>
      </w:tr>
      <w:tr>
        <w:trPr>
          <w:trHeight w:val="270"/>
        </w:trPr>
        <w:tc>
          <w:tcPr>
            <w:tcW w:w="380" w:type="dxa"/>
            <w:vAlign w:val="bottom"/>
          </w:tcPr>
          <w:p>
            <w:pPr>
              <w:spacing w:after="0"/>
              <w:rPr>
                <w:sz w:val="23"/>
                <w:szCs w:val="2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Vanguard Target Retirement 2050 Trust II</w:t>
            </w: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55,287,076</w:t>
            </w:r>
          </w:p>
        </w:tc>
      </w:tr>
      <w:tr>
        <w:trPr>
          <w:trHeight w:val="270"/>
        </w:trPr>
        <w:tc>
          <w:tcPr>
            <w:tcW w:w="380" w:type="dxa"/>
            <w:vAlign w:val="bottom"/>
            <w:shd w:val="clear" w:color="auto" w:fill="CCEEFF"/>
          </w:tcPr>
          <w:p>
            <w:pPr>
              <w:spacing w:after="0"/>
              <w:rPr>
                <w:sz w:val="23"/>
                <w:szCs w:val="23"/>
                <w:color w:val="auto"/>
              </w:rPr>
            </w:pP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Vanguard Target Retirement 2055 Trust II</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34,855,341</w:t>
            </w:r>
          </w:p>
        </w:tc>
      </w:tr>
      <w:tr>
        <w:trPr>
          <w:trHeight w:val="270"/>
        </w:trPr>
        <w:tc>
          <w:tcPr>
            <w:tcW w:w="380" w:type="dxa"/>
            <w:vAlign w:val="bottom"/>
          </w:tcPr>
          <w:p>
            <w:pPr>
              <w:spacing w:after="0"/>
              <w:rPr>
                <w:sz w:val="23"/>
                <w:szCs w:val="2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Vanguard Target Retirement 2060 Trust II</w:t>
            </w: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21,781,744</w:t>
            </w:r>
          </w:p>
        </w:tc>
      </w:tr>
      <w:tr>
        <w:trPr>
          <w:trHeight w:val="270"/>
        </w:trPr>
        <w:tc>
          <w:tcPr>
            <w:tcW w:w="380" w:type="dxa"/>
            <w:vAlign w:val="bottom"/>
            <w:shd w:val="clear" w:color="auto" w:fill="CCEEFF"/>
          </w:tcPr>
          <w:p>
            <w:pPr>
              <w:spacing w:after="0"/>
              <w:rPr>
                <w:sz w:val="23"/>
                <w:szCs w:val="23"/>
                <w:color w:val="auto"/>
              </w:rPr>
            </w:pP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Vanguard Target Retirement 2065 Trust II</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9,265,666</w:t>
            </w:r>
          </w:p>
        </w:tc>
      </w:tr>
      <w:tr>
        <w:trPr>
          <w:trHeight w:val="270"/>
        </w:trPr>
        <w:tc>
          <w:tcPr>
            <w:tcW w:w="380" w:type="dxa"/>
            <w:vAlign w:val="bottom"/>
            <w:tcBorders>
              <w:bottom w:val="single" w:sz="8" w:color="CCEEFF"/>
            </w:tcBorders>
          </w:tcPr>
          <w:p>
            <w:pPr>
              <w:spacing w:after="0"/>
              <w:rPr>
                <w:sz w:val="23"/>
                <w:szCs w:val="23"/>
                <w:color w:val="auto"/>
              </w:rPr>
            </w:pPr>
          </w:p>
        </w:tc>
        <w:tc>
          <w:tcPr>
            <w:tcW w:w="25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Vanguard Target Retirement 2070 Trust II</w:t>
            </w: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1,629,452</w:t>
            </w: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shd w:val="clear" w:color="auto" w:fill="CCEEFF"/>
          </w:tcPr>
          <w:p>
            <w:pPr>
              <w:spacing w:after="0"/>
              <w:rPr>
                <w:sz w:val="22"/>
                <w:szCs w:val="22"/>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 Common and Collective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619,812,795</w:t>
            </w:r>
          </w:p>
        </w:tc>
      </w:tr>
      <w:tr>
        <w:trPr>
          <w:trHeight w:val="250"/>
        </w:trPr>
        <w:tc>
          <w:tcPr>
            <w:tcW w:w="3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380" w:type="dxa"/>
            <w:vAlign w:val="bottom"/>
          </w:tcPr>
          <w:p>
            <w:pPr>
              <w:spacing w:after="0"/>
              <w:rPr>
                <w:sz w:val="23"/>
                <w:szCs w:val="2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Dodge &amp; Cox</w:t>
            </w:r>
          </w:p>
        </w:tc>
        <w:tc>
          <w:tcPr>
            <w:tcW w:w="6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Dodge &amp; Cox International Stock Fund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26,545,442</w:t>
            </w:r>
          </w:p>
        </w:tc>
      </w:tr>
      <w:tr>
        <w:trPr>
          <w:trHeight w:val="270"/>
        </w:trPr>
        <w:tc>
          <w:tcPr>
            <w:tcW w:w="380" w:type="dxa"/>
            <w:vAlign w:val="bottom"/>
            <w:shd w:val="clear" w:color="auto" w:fill="CCEEFF"/>
          </w:tcPr>
          <w:p>
            <w:pPr>
              <w:spacing w:after="0"/>
              <w:rPr>
                <w:sz w:val="23"/>
                <w:szCs w:val="23"/>
                <w:color w:val="auto"/>
              </w:rPr>
            </w:pP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Vanguard Institutional Index Fund</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205,176,141</w:t>
            </w:r>
          </w:p>
        </w:tc>
      </w:tr>
      <w:tr>
        <w:trPr>
          <w:trHeight w:val="270"/>
        </w:trPr>
        <w:tc>
          <w:tcPr>
            <w:tcW w:w="380" w:type="dxa"/>
            <w:vAlign w:val="bottom"/>
          </w:tcPr>
          <w:p>
            <w:pPr>
              <w:spacing w:after="0"/>
              <w:rPr>
                <w:sz w:val="23"/>
                <w:szCs w:val="23"/>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Vanguard Total International Stock Index Fund</w:t>
            </w: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23,857,921</w:t>
            </w:r>
          </w:p>
        </w:tc>
      </w:tr>
      <w:tr>
        <w:trPr>
          <w:trHeight w:val="270"/>
        </w:trPr>
        <w:tc>
          <w:tcPr>
            <w:tcW w:w="380" w:type="dxa"/>
            <w:vAlign w:val="bottom"/>
            <w:shd w:val="clear" w:color="auto" w:fill="CCEEFF"/>
          </w:tcPr>
          <w:p>
            <w:pPr>
              <w:spacing w:after="0"/>
              <w:rPr>
                <w:sz w:val="23"/>
                <w:szCs w:val="23"/>
                <w:color w:val="auto"/>
              </w:rPr>
            </w:pPr>
          </w:p>
        </w:tc>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Dodge &amp; Cox</w:t>
            </w:r>
          </w:p>
        </w:tc>
        <w:tc>
          <w:tcPr>
            <w:tcW w:w="6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Dodge &amp; Cox Income Fund</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13,860,910</w:t>
            </w:r>
          </w:p>
        </w:tc>
      </w:tr>
      <w:tr>
        <w:trPr>
          <w:trHeight w:val="270"/>
        </w:trPr>
        <w:tc>
          <w:tcPr>
            <w:tcW w:w="380" w:type="dxa"/>
            <w:vAlign w:val="bottom"/>
            <w:tcBorders>
              <w:bottom w:val="single" w:sz="8" w:color="CCEEFF"/>
            </w:tcBorders>
          </w:tcPr>
          <w:p>
            <w:pPr>
              <w:spacing w:after="0"/>
              <w:rPr>
                <w:sz w:val="23"/>
                <w:szCs w:val="23"/>
                <w:color w:val="auto"/>
              </w:rPr>
            </w:pPr>
          </w:p>
        </w:tc>
        <w:tc>
          <w:tcPr>
            <w:tcW w:w="25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Vanguard Group</w:t>
            </w:r>
          </w:p>
        </w:tc>
        <w:tc>
          <w:tcPr>
            <w:tcW w:w="664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Vanguard Total Bond Market Index Fund</w:t>
            </w: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19,158,430</w:t>
            </w: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 Mutual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288,598,844</w:t>
            </w:r>
          </w:p>
        </w:tc>
      </w:tr>
      <w:tr>
        <w:trPr>
          <w:trHeight w:val="20"/>
        </w:trPr>
        <w:tc>
          <w:tcPr>
            <w:tcW w:w="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Participant Loans**</w:t>
      </w:r>
    </w:p>
    <w:p>
      <w:pPr>
        <w:sectPr>
          <w:pgSz w:w="11900" w:h="16838" w:orient="portrait"/>
          <w:cols w:equalWidth="0" w:num="1">
            <w:col w:w="11240"/>
          </w:cols>
          <w:pgMar w:left="320" w:top="121" w:right="339" w:bottom="1440" w:gutter="0" w:footer="0" w:header="0"/>
        </w:sectPr>
      </w:pPr>
    </w:p>
    <w:p>
      <w:pPr>
        <w:spacing w:after="0" w:line="94" w:lineRule="exact"/>
        <w:rPr>
          <w:sz w:val="20"/>
          <w:szCs w:val="20"/>
          <w:color w:val="auto"/>
        </w:rPr>
      </w:pPr>
    </w:p>
    <w:p>
      <w:pPr>
        <w:ind w:left="160"/>
        <w:spacing w:after="0"/>
        <w:tabs>
          <w:tab w:leader="none" w:pos="440" w:val="left"/>
          <w:tab w:leader="none" w:pos="3560" w:val="left"/>
        </w:tabs>
        <w:rPr>
          <w:sz w:val="20"/>
          <w:szCs w:val="20"/>
          <w:color w:val="auto"/>
        </w:rPr>
      </w:pPr>
      <w:r>
        <w:rPr>
          <w:rFonts w:ascii="Times New Roman" w:cs="Times New Roman" w:eastAsia="Times New Roman" w:hAnsi="Times New Roman"/>
          <w:sz w:val="18"/>
          <w:szCs w:val="18"/>
          <w:color w:val="auto"/>
        </w:rPr>
        <w:t>*</w:t>
        <w:tab/>
        <w:t>Plan participants</w:t>
      </w:r>
      <w:r>
        <w:rPr>
          <w:sz w:val="20"/>
          <w:szCs w:val="20"/>
          <w:color w:val="auto"/>
        </w:rPr>
        <w:tab/>
      </w:r>
      <w:r>
        <w:rPr>
          <w:rFonts w:ascii="Times New Roman" w:cs="Times New Roman" w:eastAsia="Times New Roman" w:hAnsi="Times New Roman"/>
          <w:sz w:val="17"/>
          <w:szCs w:val="17"/>
          <w:color w:val="auto"/>
        </w:rPr>
        <w:t>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5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Total Investments</w:t>
      </w:r>
    </w:p>
    <w:p>
      <w:pPr>
        <w:spacing w:after="0" w:line="162" w:lineRule="exact"/>
        <w:rPr>
          <w:sz w:val="20"/>
          <w:szCs w:val="20"/>
          <w:color w:val="auto"/>
        </w:rPr>
      </w:pPr>
    </w:p>
    <w:p>
      <w:pPr>
        <w:ind w:firstLine="8"/>
        <w:spacing w:after="0" w:line="261" w:lineRule="auto"/>
        <w:tabs>
          <w:tab w:leader="none" w:pos="3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is omitted in accordance with Department of Labor CFR 2520.103-11, as all investments are participant directed. * Party-in-interest as defined by ERISA.</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Interest rates at 4.25% to 9.50%; maturity dates range from 2026 to 2045.</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736" w:hanging="736"/>
        <w:spacing w:after="0"/>
        <w:tabs>
          <w:tab w:leader="none" w:pos="7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14,961,576</w:t>
      </w:r>
    </w:p>
    <w:p>
      <w:pPr>
        <w:spacing w:after="0" w:line="84" w:lineRule="exact"/>
        <w:rPr>
          <w:rFonts w:ascii="Times New Roman" w:cs="Times New Roman" w:eastAsia="Times New Roman" w:hAnsi="Times New Roman"/>
          <w:sz w:val="17"/>
          <w:szCs w:val="17"/>
          <w:color w:val="auto"/>
        </w:rPr>
      </w:pPr>
    </w:p>
    <w:p>
      <w:pPr>
        <w:ind w:left="516" w:hanging="516"/>
        <w:spacing w:after="0"/>
        <w:tabs>
          <w:tab w:leader="none" w:pos="516"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1,048,141,152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69850</wp:posOffset>
            </wp:positionV>
            <wp:extent cx="1036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057" w:lineRule="exact"/>
        <w:rPr>
          <w:sz w:val="20"/>
          <w:szCs w:val="20"/>
          <w:color w:val="auto"/>
        </w:rPr>
      </w:pPr>
    </w:p>
    <w:p>
      <w:pPr>
        <w:sectPr>
          <w:pgSz w:w="11900" w:h="16838" w:orient="portrait"/>
          <w:cols w:equalWidth="0" w:num="2">
            <w:col w:w="8920" w:space="704"/>
            <w:col w:w="1616"/>
          </w:cols>
          <w:pgMar w:left="320" w:top="121" w:right="339" w:bottom="1440" w:gutter="0" w:footer="0" w:header="0"/>
          <w:type w:val="continuous"/>
        </w:sect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u w:val="single" w:color="auto"/>
          <w:color w:val="3051F2"/>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 is filed as an exhibit to this Form 11-K:</w:t>
      </w:r>
    </w:p>
    <w:p>
      <w:pPr>
        <w:spacing w:after="0" w:line="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Exhibit</w:t>
      </w:r>
    </w:p>
    <w:p>
      <w:pPr>
        <w:ind w:left="800"/>
        <w:spacing w:after="0"/>
        <w:tabs>
          <w:tab w:leader="none" w:pos="51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p>
      <w:pPr>
        <w:spacing w:after="0" w:line="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EX-23.1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45920" cy="582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on Form S-8 of our report dated June 17, 2026, appearing in this Annual Report on Form 11-K of the McCormick 401(k) Retirement Plan as of December 31, 2025 and 2024 and for the year then ended December 31, 2025.</w:t>
      </w:r>
    </w:p>
    <w:p>
      <w:pPr>
        <w:spacing w:after="0" w:line="200" w:lineRule="exact"/>
        <w:rPr>
          <w:sz w:val="20"/>
          <w:szCs w:val="20"/>
          <w:color w:val="auto"/>
        </w:rPr>
      </w:pPr>
    </w:p>
    <w:p>
      <w:pPr>
        <w:spacing w:after="0" w:line="244" w:lineRule="exact"/>
        <w:rPr>
          <w:sz w:val="20"/>
          <w:szCs w:val="20"/>
          <w:color w:val="auto"/>
        </w:rPr>
      </w:pPr>
    </w:p>
    <w:tbl>
      <w:tblPr>
        <w:tblLayout w:type="fixed"/>
        <w:tblInd w:w="2590" w:type="dxa"/>
        <w:tblCellMar>
          <w:top w:w="0" w:type="dxa"/>
          <w:left w:w="0" w:type="dxa"/>
          <w:bottom w:w="0" w:type="dxa"/>
          <w:right w:w="0" w:type="dxa"/>
        </w:tblCellMar>
      </w:tblPr>
      <w:tr>
        <w:trPr>
          <w:trHeight w:val="252"/>
        </w:trPr>
        <w:tc>
          <w:tcPr>
            <w:tcW w:w="1600" w:type="dxa"/>
            <w:vAlign w:val="bottom"/>
            <w:tcBorders>
              <w:top w:val="single" w:sz="8" w:color="auto"/>
              <w:lef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600" w:type="dxa"/>
            <w:vAlign w:val="bottom"/>
            <w:tcBorders>
              <w:top w:val="single" w:sz="8" w:color="auto"/>
            </w:tcBorders>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Registration Number</w:t>
            </w:r>
          </w:p>
        </w:tc>
        <w:tc>
          <w:tcPr>
            <w:tcW w:w="1920" w:type="dxa"/>
            <w:vAlign w:val="bottom"/>
            <w:tcBorders>
              <w:top w:val="single" w:sz="8" w:color="auto"/>
              <w:right w:val="single" w:sz="8" w:color="auto"/>
            </w:tcBorders>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Date Filed</w:t>
            </w:r>
          </w:p>
        </w:tc>
        <w:tc>
          <w:tcPr>
            <w:tcW w:w="0" w:type="dxa"/>
            <w:vAlign w:val="bottom"/>
          </w:tcPr>
          <w:p>
            <w:pPr>
              <w:spacing w:after="0"/>
              <w:rPr>
                <w:sz w:val="1"/>
                <w:szCs w:val="1"/>
                <w:color w:val="auto"/>
              </w:rPr>
            </w:pPr>
          </w:p>
        </w:tc>
      </w:tr>
      <w:tr>
        <w:trPr>
          <w:trHeight w:val="86"/>
        </w:trPr>
        <w:tc>
          <w:tcPr>
            <w:tcW w:w="1600" w:type="dxa"/>
            <w:vAlign w:val="bottom"/>
            <w:tcBorders>
              <w:left w:val="single" w:sz="8" w:color="auto"/>
              <w:bottom w:val="single" w:sz="8" w:color="auto"/>
            </w:tcBorders>
            <w:shd w:val="clear" w:color="auto" w:fill="CCEEFF"/>
          </w:tcPr>
          <w:p>
            <w:pPr>
              <w:spacing w:after="0"/>
              <w:rPr>
                <w:sz w:val="7"/>
                <w:szCs w:val="7"/>
                <w:color w:val="auto"/>
              </w:rPr>
            </w:pPr>
          </w:p>
        </w:tc>
        <w:tc>
          <w:tcPr>
            <w:tcW w:w="2600" w:type="dxa"/>
            <w:vAlign w:val="bottom"/>
            <w:tcBorders>
              <w:bottom w:val="single" w:sz="8" w:color="auto"/>
            </w:tcBorders>
            <w:vMerge w:val="continue"/>
            <w:shd w:val="clear" w:color="auto" w:fill="CCEEFF"/>
          </w:tcPr>
          <w:p>
            <w:pPr>
              <w:spacing w:after="0"/>
              <w:rPr>
                <w:sz w:val="7"/>
                <w:szCs w:val="7"/>
                <w:color w:val="auto"/>
              </w:rPr>
            </w:pPr>
          </w:p>
        </w:tc>
        <w:tc>
          <w:tcPr>
            <w:tcW w:w="192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600" w:type="dxa"/>
            <w:vAlign w:val="bottom"/>
            <w:tcBorders>
              <w:lef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S-3ASR</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333-271070</w:t>
            </w:r>
          </w:p>
        </w:tc>
        <w:tc>
          <w:tcPr>
            <w:tcW w:w="19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04/03/2023</w:t>
            </w: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S-8</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333-263971</w:t>
            </w:r>
          </w:p>
        </w:tc>
        <w:tc>
          <w:tcPr>
            <w:tcW w:w="19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03/30/2022</w:t>
            </w: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S-8</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333-230556</w:t>
            </w:r>
          </w:p>
        </w:tc>
        <w:tc>
          <w:tcPr>
            <w:tcW w:w="19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03/28/2019</w:t>
            </w: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S-8</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333-220665</w:t>
            </w:r>
          </w:p>
        </w:tc>
        <w:tc>
          <w:tcPr>
            <w:tcW w:w="19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09/27/2017</w:t>
            </w: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S-8</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333-187703</w:t>
            </w:r>
          </w:p>
        </w:tc>
        <w:tc>
          <w:tcPr>
            <w:tcW w:w="19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04/03/2013</w:t>
            </w: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S-8</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333-186250</w:t>
            </w:r>
          </w:p>
        </w:tc>
        <w:tc>
          <w:tcPr>
            <w:tcW w:w="19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01/28/2013</w:t>
            </w: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S-8</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333-158573</w:t>
            </w:r>
          </w:p>
        </w:tc>
        <w:tc>
          <w:tcPr>
            <w:tcW w:w="19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04/14/2009</w:t>
            </w: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S-8</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333-155775</w:t>
            </w:r>
          </w:p>
        </w:tc>
        <w:tc>
          <w:tcPr>
            <w:tcW w:w="19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11/28/2008</w:t>
            </w: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S-8</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333-150043</w:t>
            </w:r>
          </w:p>
        </w:tc>
        <w:tc>
          <w:tcPr>
            <w:tcW w:w="19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04/02/2008</w:t>
            </w: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S-8</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333-114094</w:t>
            </w:r>
          </w:p>
        </w:tc>
        <w:tc>
          <w:tcPr>
            <w:tcW w:w="19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03/31/2004</w:t>
            </w:r>
          </w:p>
        </w:tc>
        <w:tc>
          <w:tcPr>
            <w:tcW w:w="0" w:type="dxa"/>
            <w:vAlign w:val="bottom"/>
          </w:tcPr>
          <w:p>
            <w:pPr>
              <w:spacing w:after="0"/>
              <w:rPr>
                <w:sz w:val="1"/>
                <w:szCs w:val="1"/>
                <w:color w:val="auto"/>
              </w:rPr>
            </w:pPr>
          </w:p>
        </w:tc>
      </w:tr>
      <w:tr>
        <w:trPr>
          <w:trHeight w:val="234"/>
        </w:trPr>
        <w:tc>
          <w:tcPr>
            <w:tcW w:w="1600" w:type="dxa"/>
            <w:vAlign w:val="bottom"/>
            <w:tcBorders>
              <w:left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S-8</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333-93231</w:t>
            </w:r>
          </w:p>
        </w:tc>
        <w:tc>
          <w:tcPr>
            <w:tcW w:w="192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12/21/1999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Owings Mills,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5715</wp:posOffset>
            </wp:positionV>
            <wp:extent cx="1885950" cy="38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0" cy="386080"/>
                    </a:xfrm>
                    <a:prstGeom prst="rect">
                      <a:avLst/>
                    </a:prstGeom>
                    <a:noFill/>
                  </pic:spPr>
                </pic:pic>
              </a:graphicData>
            </a:graphic>
          </wp:anchor>
        </w:drawing>
      </w:r>
    </w:p>
    <w:sectPr>
      <w:pgSz w:w="11900" w:h="16838" w:orient="portrait"/>
      <w:cols w:equalWidth="0" w:num="1">
        <w:col w:w="10880"/>
      </w:cols>
      <w:pgMar w:left="320" w:top="144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1"/>
    </w:lvl>
    <w:lvl w:ilvl="1">
      <w:lvlJc w:val="left"/>
      <w:lvlText w:val="%2)"/>
      <w:numFmt w:val="lowerRoman"/>
      <w:start w:val="2"/>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lowerLetter"/>
      <w:start w:val="4"/>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2026-06-17T15:18:30Z</dcterms:created>
  <dcterms:modified xsi:type="dcterms:W3CDTF">2026-06-17T15:18:30Z</dcterms:modified>
</cp:coreProperties>
</file>