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4"/>
          <w:szCs w:val="14"/>
          <w:color w:val="auto"/>
        </w:rPr>
        <w:t>UNITED STATES</w:t>
      </w:r>
    </w:p>
    <w:p>
      <w:pPr>
        <w:spacing w:after="0" w:line="1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SECURITIES AND EXCHANGE COMMISSION</w:t>
      </w:r>
    </w:p>
    <w:p>
      <w:pPr>
        <w:spacing w:after="0" w:line="1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232"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5440" w:type="dxa"/>
            <w:vAlign w:val="bottom"/>
          </w:tcPr>
          <w:p>
            <w:pPr>
              <w:jc w:val="right"/>
              <w:ind w:right="2649"/>
              <w:spacing w:after="0"/>
              <w:rPr>
                <w:sz w:val="20"/>
                <w:szCs w:val="20"/>
                <w:color w:val="auto"/>
              </w:rPr>
            </w:pPr>
            <w:r>
              <w:rPr>
                <w:rFonts w:ascii="Times New Roman" w:cs="Times New Roman" w:eastAsia="Times New Roman" w:hAnsi="Times New Roman"/>
                <w:sz w:val="14"/>
                <w:szCs w:val="14"/>
                <w:color w:val="auto"/>
              </w:rPr>
              <w:t>FORM 8-K</w:t>
            </w:r>
          </w:p>
        </w:tc>
        <w:tc>
          <w:tcPr>
            <w:tcW w:w="1520" w:type="dxa"/>
            <w:vAlign w:val="bottom"/>
          </w:tcPr>
          <w:p>
            <w:pPr>
              <w:spacing w:after="0"/>
              <w:rPr>
                <w:sz w:val="16"/>
                <w:szCs w:val="16"/>
                <w:color w:val="auto"/>
              </w:rPr>
            </w:pPr>
          </w:p>
        </w:tc>
      </w:tr>
      <w:tr>
        <w:trPr>
          <w:trHeight w:val="626"/>
        </w:trPr>
        <w:tc>
          <w:tcPr>
            <w:tcW w:w="2960" w:type="dxa"/>
            <w:vAlign w:val="bottom"/>
          </w:tcPr>
          <w:p>
            <w:pPr>
              <w:spacing w:after="0"/>
              <w:rPr>
                <w:sz w:val="24"/>
                <w:szCs w:val="24"/>
                <w:color w:val="auto"/>
              </w:rPr>
            </w:pPr>
          </w:p>
        </w:tc>
        <w:tc>
          <w:tcPr>
            <w:tcW w:w="544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CURRENT REPORT</w:t>
            </w:r>
          </w:p>
        </w:tc>
        <w:tc>
          <w:tcPr>
            <w:tcW w:w="1520" w:type="dxa"/>
            <w:vAlign w:val="bottom"/>
          </w:tcPr>
          <w:p>
            <w:pPr>
              <w:spacing w:after="0"/>
              <w:rPr>
                <w:sz w:val="24"/>
                <w:szCs w:val="24"/>
                <w:color w:val="auto"/>
              </w:rPr>
            </w:pPr>
          </w:p>
        </w:tc>
      </w:tr>
      <w:tr>
        <w:trPr>
          <w:trHeight w:val="537"/>
        </w:trPr>
        <w:tc>
          <w:tcPr>
            <w:tcW w:w="2960" w:type="dxa"/>
            <w:vAlign w:val="bottom"/>
          </w:tcPr>
          <w:p>
            <w:pPr>
              <w:spacing w:after="0"/>
              <w:rPr>
                <w:sz w:val="24"/>
                <w:szCs w:val="24"/>
                <w:color w:val="auto"/>
              </w:rPr>
            </w:pPr>
          </w:p>
        </w:tc>
        <w:tc>
          <w:tcPr>
            <w:tcW w:w="544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Pursuant to Section 13 or 15(d) of the SECURITIES EXCHANGE ACT OF 1934</w:t>
            </w:r>
          </w:p>
        </w:tc>
        <w:tc>
          <w:tcPr>
            <w:tcW w:w="1520" w:type="dxa"/>
            <w:vAlign w:val="bottom"/>
          </w:tcPr>
          <w:p>
            <w:pPr>
              <w:spacing w:after="0"/>
              <w:rPr>
                <w:sz w:val="24"/>
                <w:szCs w:val="24"/>
                <w:color w:val="auto"/>
              </w:rPr>
            </w:pPr>
          </w:p>
        </w:tc>
      </w:tr>
      <w:tr>
        <w:trPr>
          <w:trHeight w:val="184"/>
        </w:trPr>
        <w:tc>
          <w:tcPr>
            <w:tcW w:w="2960" w:type="dxa"/>
            <w:vAlign w:val="bottom"/>
          </w:tcPr>
          <w:p>
            <w:pPr>
              <w:spacing w:after="0"/>
              <w:rPr>
                <w:sz w:val="16"/>
                <w:szCs w:val="16"/>
                <w:color w:val="auto"/>
              </w:rPr>
            </w:pPr>
          </w:p>
        </w:tc>
        <w:tc>
          <w:tcPr>
            <w:tcW w:w="544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_______________________</w:t>
            </w:r>
          </w:p>
        </w:tc>
        <w:tc>
          <w:tcPr>
            <w:tcW w:w="1520" w:type="dxa"/>
            <w:vAlign w:val="bottom"/>
          </w:tcPr>
          <w:p>
            <w:pPr>
              <w:spacing w:after="0"/>
              <w:rPr>
                <w:sz w:val="16"/>
                <w:szCs w:val="16"/>
                <w:color w:val="auto"/>
              </w:rPr>
            </w:pPr>
          </w:p>
        </w:tc>
      </w:tr>
      <w:tr>
        <w:trPr>
          <w:trHeight w:val="361"/>
        </w:trPr>
        <w:tc>
          <w:tcPr>
            <w:tcW w:w="2960" w:type="dxa"/>
            <w:vAlign w:val="bottom"/>
          </w:tcPr>
          <w:p>
            <w:pPr>
              <w:spacing w:after="0"/>
              <w:rPr>
                <w:sz w:val="24"/>
                <w:szCs w:val="24"/>
                <w:color w:val="auto"/>
              </w:rPr>
            </w:pPr>
          </w:p>
        </w:tc>
        <w:tc>
          <w:tcPr>
            <w:tcW w:w="544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Date of Report (Date of earliest event reported):</w:t>
            </w:r>
          </w:p>
        </w:tc>
        <w:tc>
          <w:tcPr>
            <w:tcW w:w="1520" w:type="dxa"/>
            <w:vAlign w:val="bottom"/>
          </w:tcPr>
          <w:p>
            <w:pPr>
              <w:spacing w:after="0"/>
              <w:rPr>
                <w:sz w:val="24"/>
                <w:szCs w:val="24"/>
                <w:color w:val="auto"/>
              </w:rPr>
            </w:pPr>
          </w:p>
        </w:tc>
      </w:tr>
      <w:tr>
        <w:trPr>
          <w:trHeight w:val="456"/>
        </w:trPr>
        <w:tc>
          <w:tcPr>
            <w:tcW w:w="2960" w:type="dxa"/>
            <w:vAlign w:val="bottom"/>
          </w:tcPr>
          <w:p>
            <w:pPr>
              <w:spacing w:after="0"/>
              <w:rPr>
                <w:sz w:val="24"/>
                <w:szCs w:val="24"/>
                <w:color w:val="auto"/>
              </w:rPr>
            </w:pPr>
          </w:p>
        </w:tc>
        <w:tc>
          <w:tcPr>
            <w:tcW w:w="544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June 25, 2026</w:t>
            </w:r>
          </w:p>
        </w:tc>
        <w:tc>
          <w:tcPr>
            <w:tcW w:w="1520" w:type="dxa"/>
            <w:vAlign w:val="bottom"/>
          </w:tcPr>
          <w:p>
            <w:pPr>
              <w:spacing w:after="0"/>
              <w:rPr>
                <w:sz w:val="24"/>
                <w:szCs w:val="24"/>
                <w:color w:val="auto"/>
              </w:rPr>
            </w:pPr>
          </w:p>
        </w:tc>
      </w:tr>
      <w:tr>
        <w:trPr>
          <w:trHeight w:val="658"/>
        </w:trPr>
        <w:tc>
          <w:tcPr>
            <w:tcW w:w="2960" w:type="dxa"/>
            <w:vAlign w:val="bottom"/>
          </w:tcPr>
          <w:p>
            <w:pPr>
              <w:spacing w:after="0"/>
              <w:rPr>
                <w:sz w:val="24"/>
                <w:szCs w:val="24"/>
                <w:color w:val="auto"/>
              </w:rPr>
            </w:pPr>
          </w:p>
        </w:tc>
        <w:tc>
          <w:tcPr>
            <w:tcW w:w="544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9"/>
              </w:rPr>
              <w:t>McCormick &amp; Company, Inc.</w:t>
            </w:r>
          </w:p>
        </w:tc>
        <w:tc>
          <w:tcPr>
            <w:tcW w:w="1520" w:type="dxa"/>
            <w:vAlign w:val="bottom"/>
          </w:tcPr>
          <w:p>
            <w:pPr>
              <w:spacing w:after="0"/>
              <w:rPr>
                <w:sz w:val="24"/>
                <w:szCs w:val="24"/>
                <w:color w:val="auto"/>
              </w:rPr>
            </w:pPr>
          </w:p>
        </w:tc>
      </w:tr>
      <w:tr>
        <w:trPr>
          <w:trHeight w:val="350"/>
        </w:trPr>
        <w:tc>
          <w:tcPr>
            <w:tcW w:w="2960" w:type="dxa"/>
            <w:vAlign w:val="bottom"/>
          </w:tcPr>
          <w:p>
            <w:pPr>
              <w:spacing w:after="0"/>
              <w:rPr>
                <w:sz w:val="24"/>
                <w:szCs w:val="24"/>
                <w:color w:val="auto"/>
              </w:rPr>
            </w:pPr>
          </w:p>
        </w:tc>
        <w:tc>
          <w:tcPr>
            <w:tcW w:w="544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520" w:type="dxa"/>
            <w:vAlign w:val="bottom"/>
          </w:tcPr>
          <w:p>
            <w:pPr>
              <w:spacing w:after="0"/>
              <w:rPr>
                <w:sz w:val="24"/>
                <w:szCs w:val="24"/>
                <w:color w:val="auto"/>
              </w:rPr>
            </w:pPr>
          </w:p>
        </w:tc>
      </w:tr>
      <w:tr>
        <w:trPr>
          <w:trHeight w:val="654"/>
        </w:trPr>
        <w:tc>
          <w:tcPr>
            <w:tcW w:w="296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w w:val="99"/>
              </w:rPr>
              <w:t>Maryland</w:t>
            </w:r>
          </w:p>
        </w:tc>
        <w:tc>
          <w:tcPr>
            <w:tcW w:w="544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001-14920</w:t>
            </w:r>
          </w:p>
        </w:tc>
        <w:tc>
          <w:tcPr>
            <w:tcW w:w="15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52-0408290</w:t>
            </w:r>
          </w:p>
        </w:tc>
      </w:tr>
      <w:tr>
        <w:trPr>
          <w:trHeight w:val="180"/>
        </w:trPr>
        <w:tc>
          <w:tcPr>
            <w:tcW w:w="296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544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(Commission</w:t>
            </w:r>
          </w:p>
        </w:tc>
        <w:tc>
          <w:tcPr>
            <w:tcW w:w="152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2960" w:type="dxa"/>
            <w:vAlign w:val="bottom"/>
          </w:tcPr>
          <w:p>
            <w:pPr>
              <w:jc w:val="center"/>
              <w:ind w:left="689"/>
              <w:spacing w:after="0"/>
              <w:rPr>
                <w:sz w:val="20"/>
                <w:szCs w:val="20"/>
                <w:color w:val="auto"/>
              </w:rPr>
            </w:pPr>
            <w:r>
              <w:rPr>
                <w:rFonts w:ascii="Times New Roman" w:cs="Times New Roman" w:eastAsia="Times New Roman" w:hAnsi="Times New Roman"/>
                <w:sz w:val="14"/>
                <w:szCs w:val="14"/>
                <w:color w:val="auto"/>
              </w:rPr>
              <w:t>of incorporation)</w:t>
            </w:r>
          </w:p>
        </w:tc>
        <w:tc>
          <w:tcPr>
            <w:tcW w:w="544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File Number)</w:t>
            </w:r>
          </w:p>
        </w:tc>
        <w:tc>
          <w:tcPr>
            <w:tcW w:w="152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78"/>
        </w:trPr>
        <w:tc>
          <w:tcPr>
            <w:tcW w:w="296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24 Schilling Road</w:t>
            </w:r>
          </w:p>
        </w:tc>
        <w:tc>
          <w:tcPr>
            <w:tcW w:w="544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6"/>
              </w:rPr>
              <w:t>Suite 1</w:t>
            </w:r>
          </w:p>
        </w:tc>
        <w:tc>
          <w:tcPr>
            <w:tcW w:w="1520" w:type="dxa"/>
            <w:vAlign w:val="bottom"/>
          </w:tcPr>
          <w:p>
            <w:pPr>
              <w:spacing w:after="0"/>
              <w:rPr>
                <w:sz w:val="24"/>
                <w:szCs w:val="24"/>
                <w:color w:val="auto"/>
              </w:rPr>
            </w:pPr>
          </w:p>
        </w:tc>
      </w:tr>
      <w:tr>
        <w:trPr>
          <w:trHeight w:val="180"/>
        </w:trPr>
        <w:tc>
          <w:tcPr>
            <w:tcW w:w="2960" w:type="dxa"/>
            <w:vAlign w:val="bottom"/>
          </w:tcPr>
          <w:p>
            <w:pPr>
              <w:jc w:val="center"/>
              <w:ind w:left="689"/>
              <w:spacing w:after="0"/>
              <w:rPr>
                <w:sz w:val="20"/>
                <w:szCs w:val="20"/>
                <w:color w:val="auto"/>
              </w:rPr>
            </w:pPr>
            <w:r>
              <w:rPr>
                <w:rFonts w:ascii="Times New Roman" w:cs="Times New Roman" w:eastAsia="Times New Roman" w:hAnsi="Times New Roman"/>
                <w:sz w:val="14"/>
                <w:szCs w:val="14"/>
                <w:color w:val="auto"/>
                <w:w w:val="98"/>
              </w:rPr>
              <w:t>Hunt Valley</w:t>
            </w:r>
          </w:p>
        </w:tc>
        <w:tc>
          <w:tcPr>
            <w:tcW w:w="544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7"/>
              </w:rPr>
              <w:t>MD</w:t>
            </w:r>
          </w:p>
        </w:tc>
        <w:tc>
          <w:tcPr>
            <w:tcW w:w="15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21031</w:t>
            </w:r>
          </w:p>
        </w:tc>
      </w:tr>
      <w:tr>
        <w:trPr>
          <w:trHeight w:val="184"/>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440" w:type="dxa"/>
            <w:vAlign w:val="bottom"/>
          </w:tcPr>
          <w:p>
            <w:pPr>
              <w:spacing w:after="0"/>
              <w:rPr>
                <w:sz w:val="16"/>
                <w:szCs w:val="16"/>
                <w:color w:val="auto"/>
              </w:rPr>
            </w:pPr>
          </w:p>
        </w:tc>
        <w:tc>
          <w:tcPr>
            <w:tcW w:w="152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(Zip Code)</w:t>
            </w:r>
          </w:p>
        </w:tc>
      </w:tr>
      <w:tr>
        <w:trPr>
          <w:trHeight w:val="435"/>
        </w:trPr>
        <w:tc>
          <w:tcPr>
            <w:tcW w:w="2960" w:type="dxa"/>
            <w:vAlign w:val="bottom"/>
          </w:tcPr>
          <w:p>
            <w:pPr>
              <w:spacing w:after="0"/>
              <w:rPr>
                <w:sz w:val="24"/>
                <w:szCs w:val="24"/>
                <w:color w:val="auto"/>
              </w:rPr>
            </w:pPr>
          </w:p>
        </w:tc>
        <w:tc>
          <w:tcPr>
            <w:tcW w:w="544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520" w:type="dxa"/>
            <w:vAlign w:val="bottom"/>
          </w:tcPr>
          <w:p>
            <w:pPr>
              <w:spacing w:after="0"/>
              <w:rPr>
                <w:sz w:val="24"/>
                <w:szCs w:val="24"/>
                <w:color w:val="auto"/>
              </w:rPr>
            </w:pPr>
          </w:p>
        </w:tc>
      </w:tr>
      <w:tr>
        <w:trPr>
          <w:trHeight w:val="265"/>
        </w:trPr>
        <w:tc>
          <w:tcPr>
            <w:tcW w:w="2960" w:type="dxa"/>
            <w:vAlign w:val="bottom"/>
          </w:tcPr>
          <w:p>
            <w:pPr>
              <w:spacing w:after="0"/>
              <w:rPr>
                <w:sz w:val="23"/>
                <w:szCs w:val="23"/>
                <w:color w:val="auto"/>
              </w:rPr>
            </w:pPr>
          </w:p>
        </w:tc>
        <w:tc>
          <w:tcPr>
            <w:tcW w:w="5440" w:type="dxa"/>
            <w:vAlign w:val="bottom"/>
          </w:tcPr>
          <w:p>
            <w:pPr>
              <w:jc w:val="right"/>
              <w:ind w:right="2169"/>
              <w:spacing w:after="0"/>
              <w:rPr>
                <w:sz w:val="20"/>
                <w:szCs w:val="20"/>
                <w:color w:val="auto"/>
              </w:rPr>
            </w:pPr>
            <w:r>
              <w:rPr>
                <w:rFonts w:ascii="Times New Roman" w:cs="Times New Roman" w:eastAsia="Times New Roman" w:hAnsi="Times New Roman"/>
                <w:sz w:val="14"/>
                <w:szCs w:val="14"/>
                <w:color w:val="auto"/>
              </w:rPr>
              <w:t>410 771-7301</w:t>
            </w:r>
          </w:p>
        </w:tc>
        <w:tc>
          <w:tcPr>
            <w:tcW w:w="1520" w:type="dxa"/>
            <w:vAlign w:val="bottom"/>
          </w:tcPr>
          <w:p>
            <w:pPr>
              <w:spacing w:after="0"/>
              <w:rPr>
                <w:sz w:val="23"/>
                <w:szCs w:val="23"/>
                <w:color w:val="auto"/>
              </w:rPr>
            </w:pPr>
          </w:p>
        </w:tc>
      </w:tr>
    </w:tbl>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4"/>
          <w:szCs w:val="14"/>
          <w:u w:val="single" w:color="auto"/>
          <w:color w:val="auto"/>
        </w:rPr>
        <w:t>see</w:t>
      </w:r>
      <w:r>
        <w:rPr>
          <w:rFonts w:ascii="Times New Roman" w:cs="Times New Roman" w:eastAsia="Times New Roman" w:hAnsi="Times New Roman"/>
          <w:sz w:val="14"/>
          <w:szCs w:val="14"/>
          <w:color w:val="auto"/>
        </w:rPr>
        <w:t xml:space="preserve"> General Instruction A.2.</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313"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00" w:lineRule="exact"/>
        <w:rPr>
          <w:rFonts w:ascii="MS PGothic" w:cs="MS PGothic" w:eastAsia="MS PGothic" w:hAnsi="MS PGothic"/>
          <w:sz w:val="14"/>
          <w:szCs w:val="14"/>
          <w:color w:val="auto"/>
        </w:rPr>
      </w:pPr>
    </w:p>
    <w:p>
      <w:pPr>
        <w:spacing w:after="0" w:line="233"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00" w:lineRule="exact"/>
        <w:rPr>
          <w:rFonts w:ascii="MS PGothic" w:cs="MS PGothic" w:eastAsia="MS PGothic" w:hAnsi="MS PGothic"/>
          <w:sz w:val="14"/>
          <w:szCs w:val="14"/>
          <w:color w:val="auto"/>
        </w:rPr>
      </w:pPr>
    </w:p>
    <w:p>
      <w:pPr>
        <w:spacing w:after="0" w:line="243"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777240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39" w:right="419" w:bottom="1440" w:gutter="0" w:footer="0" w:header="0"/>
        </w:sectPr>
      </w:pPr>
    </w:p>
    <w:bookmarkStart w:id="1" w:name="page2"/>
    <w:bookmarkEnd w:id="1"/>
    <w:p>
      <w:pPr>
        <w:spacing w:after="0" w:line="22" w:lineRule="exact"/>
        <w:rPr>
          <w:sz w:val="20"/>
          <w:szCs w:val="20"/>
          <w:color w:val="auto"/>
        </w:rPr>
      </w:pPr>
    </w:p>
    <w:p>
      <w:pPr>
        <w:ind w:right="4680" w:firstLine="25"/>
        <w:spacing w:after="0" w:line="761" w:lineRule="auto"/>
        <w:tabs>
          <w:tab w:leader="none" w:pos="195"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p>
      <w:pPr>
        <w:spacing w:after="0" w:line="67"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2620" w:type="dxa"/>
            <w:vAlign w:val="bottom"/>
            <w:tcBorders>
              <w:top w:val="single" w:sz="8" w:color="00000A"/>
              <w:left w:val="single" w:sz="8" w:color="00000A"/>
              <w:bottom w:val="single" w:sz="8" w:color="00000A"/>
              <w:right w:val="single" w:sz="8" w:color="00000A"/>
            </w:tcBorders>
          </w:tcPr>
          <w:p>
            <w:pPr>
              <w:ind w:left="800"/>
              <w:spacing w:after="0"/>
              <w:rPr>
                <w:sz w:val="20"/>
                <w:szCs w:val="20"/>
                <w:color w:val="auto"/>
              </w:rPr>
            </w:pPr>
            <w:r>
              <w:rPr>
                <w:rFonts w:ascii="Times New Roman" w:cs="Times New Roman" w:eastAsia="Times New Roman" w:hAnsi="Times New Roman"/>
                <w:sz w:val="14"/>
                <w:szCs w:val="14"/>
                <w:color w:val="auto"/>
              </w:rPr>
              <w:t>Title of each class</w:t>
            </w:r>
          </w:p>
        </w:tc>
        <w:tc>
          <w:tcPr>
            <w:tcW w:w="174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4"/>
                <w:szCs w:val="14"/>
                <w:color w:val="auto"/>
                <w:w w:val="99"/>
              </w:rPr>
              <w:t>Trading Symbol(s)</w:t>
            </w:r>
          </w:p>
        </w:tc>
        <w:tc>
          <w:tcPr>
            <w:tcW w:w="684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1"/>
        </w:trPr>
        <w:tc>
          <w:tcPr>
            <w:tcW w:w="262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74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4"/>
                <w:szCs w:val="14"/>
                <w:color w:val="auto"/>
              </w:rPr>
              <w:t>MKC.V</w:t>
            </w:r>
          </w:p>
        </w:tc>
        <w:tc>
          <w:tcPr>
            <w:tcW w:w="684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r>
      <w:tr>
        <w:trPr>
          <w:trHeight w:val="171"/>
        </w:trPr>
        <w:tc>
          <w:tcPr>
            <w:tcW w:w="262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4"/>
                <w:szCs w:val="14"/>
                <w:color w:val="auto"/>
              </w:rPr>
              <w:t>Common Stock Non-Voting</w:t>
            </w:r>
          </w:p>
        </w:tc>
        <w:tc>
          <w:tcPr>
            <w:tcW w:w="174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4"/>
                <w:szCs w:val="14"/>
                <w:color w:val="auto"/>
              </w:rPr>
              <w:t>MKC</w:t>
            </w:r>
          </w:p>
        </w:tc>
        <w:tc>
          <w:tcPr>
            <w:tcW w:w="684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200" w:lineRule="exact"/>
        <w:rPr>
          <w:sz w:val="20"/>
          <w:szCs w:val="20"/>
          <w:color w:val="auto"/>
        </w:rPr>
      </w:pPr>
    </w:p>
    <w:p>
      <w:pPr>
        <w:spacing w:after="0" w:line="273" w:lineRule="exact"/>
        <w:rPr>
          <w:sz w:val="20"/>
          <w:szCs w:val="20"/>
          <w:color w:val="auto"/>
        </w:rPr>
      </w:pPr>
    </w:p>
    <w:p>
      <w:pPr>
        <w:ind w:left="20" w:right="40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0"/>
          <w:szCs w:val="20"/>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31" w:lineRule="exact"/>
        <w:rPr>
          <w:sz w:val="20"/>
          <w:szCs w:val="20"/>
          <w:color w:val="auto"/>
        </w:rPr>
      </w:pPr>
    </w:p>
    <w:p>
      <w:pPr>
        <w:ind w:left="20" w:right="6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Item 2.02 Results of Operations and Financial Condition.</w:t>
      </w:r>
    </w:p>
    <w:p>
      <w:pPr>
        <w:spacing w:after="0" w:line="202" w:lineRule="exact"/>
        <w:rPr>
          <w:sz w:val="20"/>
          <w:szCs w:val="20"/>
          <w:color w:val="auto"/>
        </w:rPr>
      </w:pPr>
    </w:p>
    <w:p>
      <w:pPr>
        <w:ind w:left="20" w:right="20"/>
        <w:spacing w:after="0" w:line="287" w:lineRule="auto"/>
        <w:rPr>
          <w:sz w:val="20"/>
          <w:szCs w:val="20"/>
          <w:color w:val="auto"/>
        </w:rPr>
      </w:pPr>
      <w:r>
        <w:rPr>
          <w:rFonts w:ascii="Times New Roman" w:cs="Times New Roman" w:eastAsia="Times New Roman" w:hAnsi="Times New Roman"/>
          <w:sz w:val="14"/>
          <w:szCs w:val="14"/>
          <w:color w:val="auto"/>
        </w:rPr>
        <w:t>On June 25, 2026 the Registrant issued a press release and held a conference call with analysts to report on the results of operations for the second quarter for fiscal year 2026, which ended May 31, 2026.</w:t>
      </w:r>
    </w:p>
    <w:p>
      <w:pPr>
        <w:spacing w:after="0" w:line="145" w:lineRule="exact"/>
        <w:rPr>
          <w:sz w:val="20"/>
          <w:szCs w:val="20"/>
          <w:color w:val="auto"/>
        </w:rPr>
      </w:pPr>
    </w:p>
    <w:p>
      <w:pPr>
        <w:ind w:left="20" w:right="160"/>
        <w:spacing w:after="0" w:line="270" w:lineRule="auto"/>
        <w:rPr>
          <w:sz w:val="20"/>
          <w:szCs w:val="20"/>
          <w:color w:val="auto"/>
        </w:rPr>
      </w:pPr>
      <w:r>
        <w:rPr>
          <w:rFonts w:ascii="Times New Roman" w:cs="Times New Roman" w:eastAsia="Times New Roman" w:hAnsi="Times New Roman"/>
          <w:sz w:val="14"/>
          <w:szCs w:val="14"/>
          <w:color w:val="auto"/>
        </w:rPr>
        <w:t>Furnished with this Form 8-K as Exhibit 99.1 is a copy of the press release labeled "McCormick Reports Strong Second Quarter Performance and Reaffirms 2026 Outlook," which includes an unaudited Consolidated Income Statement for the six months ended May 31, 2026, an unaudited Consolidated Balance Sheet of the Registrant as of May 31, 2026, and an unaudited Consolidated Cash Flow Statement for the six months ended May 31, 2026.</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 Exhibits.</w:t>
      </w:r>
    </w:p>
    <w:p>
      <w:pPr>
        <w:spacing w:after="0" w:line="40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20" w:type="dxa"/>
            <w:vAlign w:val="bottom"/>
          </w:tcPr>
          <w:p>
            <w:pPr>
              <w:spacing w:after="0"/>
              <w:rPr>
                <w:sz w:val="13"/>
                <w:szCs w:val="13"/>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160"/>
        </w:trPr>
        <w:tc>
          <w:tcPr>
            <w:tcW w:w="10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99.1</w:t>
            </w:r>
          </w:p>
        </w:tc>
        <w:tc>
          <w:tcPr>
            <w:tcW w:w="420" w:type="dxa"/>
            <w:vAlign w:val="bottom"/>
          </w:tcPr>
          <w:p>
            <w:pPr>
              <w:spacing w:after="0"/>
              <w:rPr>
                <w:sz w:val="13"/>
                <w:szCs w:val="13"/>
                <w:color w:val="auto"/>
              </w:rPr>
            </w:pPr>
          </w:p>
        </w:tc>
        <w:tc>
          <w:tcPr>
            <w:tcW w:w="780" w:type="dxa"/>
            <w:vAlign w:val="bottom"/>
            <w:tcBorders>
              <w:bottom w:val="single" w:sz="8" w:color="0000FF"/>
            </w:tcBorders>
            <w:gridSpan w:val="2"/>
          </w:tcPr>
          <w:p>
            <w:pPr>
              <w:spacing w:after="0" w:line="150" w:lineRule="exact"/>
              <w:rPr>
                <w:sz w:val="20"/>
                <w:szCs w:val="20"/>
                <w:color w:val="auto"/>
              </w:rPr>
            </w:pPr>
            <w:r>
              <w:rPr>
                <w:rFonts w:ascii="Times New Roman" w:cs="Times New Roman" w:eastAsia="Times New Roman" w:hAnsi="Times New Roman"/>
                <w:sz w:val="14"/>
                <w:szCs w:val="14"/>
                <w:color w:val="0000FF"/>
                <w:w w:val="99"/>
              </w:rPr>
              <w:t>Press Release</w:t>
            </w:r>
          </w:p>
        </w:tc>
        <w:tc>
          <w:tcPr>
            <w:tcW w:w="5540" w:type="dxa"/>
            <w:vAlign w:val="bottom"/>
          </w:tcPr>
          <w:p>
            <w:pPr>
              <w:spacing w:after="0"/>
              <w:rPr>
                <w:sz w:val="13"/>
                <w:szCs w:val="13"/>
                <w:color w:val="auto"/>
              </w:rPr>
            </w:pPr>
          </w:p>
        </w:tc>
      </w:tr>
      <w:tr>
        <w:trPr>
          <w:trHeight w:val="213"/>
        </w:trPr>
        <w:tc>
          <w:tcPr>
            <w:tcW w:w="10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104</w:t>
            </w:r>
          </w:p>
        </w:tc>
        <w:tc>
          <w:tcPr>
            <w:tcW w:w="4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(the cover page XBRL tags are embedded within the Inline XBRL document).</w:t>
            </w:r>
          </w:p>
        </w:tc>
      </w:tr>
    </w:tbl>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824230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280" w:top="1440" w:right="439" w:bottom="1440" w:gutter="0" w:footer="0" w:header="0"/>
        </w:sectPr>
      </w:pPr>
    </w:p>
    <w:bookmarkStart w:id="2" w:name="page3"/>
    <w:bookmarkEnd w:id="2"/>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7760" w:type="dxa"/>
            <w:vAlign w:val="bottom"/>
            <w:gridSpan w:val="2"/>
          </w:tcPr>
          <w:p>
            <w:pPr>
              <w:jc w:val="right"/>
              <w:ind w:right="2269"/>
              <w:spacing w:after="0"/>
              <w:rPr>
                <w:sz w:val="20"/>
                <w:szCs w:val="20"/>
                <w:color w:val="auto"/>
              </w:rPr>
            </w:pPr>
            <w:r>
              <w:rPr>
                <w:rFonts w:ascii="Times New Roman" w:cs="Times New Roman" w:eastAsia="Times New Roman" w:hAnsi="Times New Roman"/>
                <w:sz w:val="14"/>
                <w:szCs w:val="14"/>
                <w:color w:val="auto"/>
              </w:rPr>
              <w:t>McCORMICK &amp; COMPANY, INCORPORATED</w:t>
            </w:r>
          </w:p>
        </w:tc>
      </w:tr>
      <w:tr>
        <w:trPr>
          <w:trHeight w:val="47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Date: June 25, 2026</w:t>
            </w:r>
          </w:p>
        </w:tc>
        <w:tc>
          <w:tcPr>
            <w:tcW w:w="3120" w:type="dxa"/>
            <w:vAlign w:val="bottom"/>
          </w:tcPr>
          <w:p>
            <w:pPr>
              <w:ind w:left="2380"/>
              <w:spacing w:after="0"/>
              <w:rPr>
                <w:sz w:val="20"/>
                <w:szCs w:val="20"/>
                <w:color w:val="auto"/>
              </w:rPr>
            </w:pPr>
            <w:r>
              <w:rPr>
                <w:rFonts w:ascii="Times New Roman" w:cs="Times New Roman" w:eastAsia="Times New Roman" w:hAnsi="Times New Roman"/>
                <w:sz w:val="14"/>
                <w:szCs w:val="14"/>
                <w:color w:val="auto"/>
              </w:rPr>
              <w:t>By:</w:t>
            </w:r>
          </w:p>
        </w:tc>
        <w:tc>
          <w:tcPr>
            <w:tcW w:w="4640" w:type="dxa"/>
            <w:vAlign w:val="bottom"/>
            <w:tcBorders>
              <w:bottom w:val="single" w:sz="8" w:color="auto"/>
            </w:tcBorders>
          </w:tcPr>
          <w:p>
            <w:pPr>
              <w:jc w:val="right"/>
              <w:ind w:right="1689"/>
              <w:spacing w:after="0"/>
              <w:rPr>
                <w:sz w:val="20"/>
                <w:szCs w:val="20"/>
                <w:color w:val="auto"/>
              </w:rPr>
            </w:pPr>
            <w:r>
              <w:rPr>
                <w:rFonts w:ascii="Times New Roman" w:cs="Times New Roman" w:eastAsia="Times New Roman" w:hAnsi="Times New Roman"/>
                <w:sz w:val="14"/>
                <w:szCs w:val="14"/>
                <w:color w:val="auto"/>
              </w:rPr>
              <w:t>/s/  Jeffery D. Schwartz</w:t>
            </w:r>
          </w:p>
        </w:tc>
      </w:tr>
      <w:tr>
        <w:trPr>
          <w:trHeight w:val="175"/>
        </w:trPr>
        <w:tc>
          <w:tcPr>
            <w:tcW w:w="35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4640" w:type="dxa"/>
            <w:vAlign w:val="bottom"/>
          </w:tcPr>
          <w:p>
            <w:pPr>
              <w:jc w:val="right"/>
              <w:ind w:right="1689"/>
              <w:spacing w:after="0"/>
              <w:rPr>
                <w:sz w:val="20"/>
                <w:szCs w:val="20"/>
                <w:color w:val="auto"/>
              </w:rPr>
            </w:pPr>
            <w:r>
              <w:rPr>
                <w:rFonts w:ascii="Times New Roman" w:cs="Times New Roman" w:eastAsia="Times New Roman" w:hAnsi="Times New Roman"/>
                <w:sz w:val="14"/>
                <w:szCs w:val="14"/>
                <w:color w:val="auto"/>
              </w:rPr>
              <w:t>Jeffery D. Schwartz</w:t>
            </w:r>
          </w:p>
        </w:tc>
      </w:tr>
    </w:tbl>
    <w:p>
      <w:pPr>
        <w:ind w:left="7660"/>
        <w:spacing w:after="0"/>
        <w:rPr>
          <w:sz w:val="20"/>
          <w:szCs w:val="20"/>
          <w:color w:val="auto"/>
        </w:rPr>
      </w:pPr>
      <w:r>
        <w:rPr>
          <w:rFonts w:ascii="Times New Roman" w:cs="Times New Roman" w:eastAsia="Times New Roman" w:hAnsi="Times New Roman"/>
          <w:sz w:val="14"/>
          <w:szCs w:val="14"/>
          <w:color w:val="auto"/>
        </w:rPr>
        <w:t>Vice President, General Counsel &amp; Secretary</w:t>
      </w:r>
    </w:p>
    <w:p>
      <w:pPr>
        <w:sectPr>
          <w:pgSz w:w="11900" w:h="16838" w:orient="portrait"/>
          <w:cols w:equalWidth="0" w:num="1">
            <w:col w:w="11260"/>
          </w:cols>
          <w:pgMar w:left="320" w:top="1440"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2026-06-25T06:26:52Z</dcterms:created>
  <dcterms:modified xsi:type="dcterms:W3CDTF">2026-06-25T06:26:52Z</dcterms:modified>
</cp:coreProperties>
</file>