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McCormick &amp; Company, Incorporated</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001-14920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52-0408290</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24 Schilling Road, Suite 1</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Hunt Valley, Maryland</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21031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(410) 771-7301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MKC-V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Stock Non-Voting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MKC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February 3, 2026, McCormick &amp; Company, Incorporated,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BofA Securities, Inc., Truist Securities, Inc. and Wells Fargo Securities, LLC, as representatives of the several underwriters named in Schedule A thereto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the issuance and sale of $500 million aggregate principal amount of its 4.150%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have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pursuant to the Company’s Registration Statement on Form S-3 (No. 333-271070) previously filed with the Securities and Exchange Commission. The offering of the Notes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closed on February 5, 2026.</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 redeem a portion of the outstanding $500 million aggregate principal amount of its 0.90% Notes due 2026 that mature on February 15, 2026, and to pay accrued interest, fees and expenses associated with such redemption.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and customary conditions to closing, indemnification obligations of the Company and the Underwriters, including for liabilities under the Securities Act, other obligations of the parties and termination provisions.</w:t>
      </w:r>
    </w:p>
    <w:p>
      <w:pPr>
        <w:spacing w:after="0" w:line="17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as Exhibit 1.1 to this report and incorporated by reference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 and Notes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July 8, 2011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U.S. Bank Trust Company, National Association, as successor in 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pursuant to which the Company may issue an unlimited amount of debt securities from time to time in one or more series.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Notes bear interest at a rate of 4.150% per annum and mature on February 15, 2029. Interest on the Notes will be paid semi-annually in arrears on February 15 and August 15 of each year, beginning on August 15, 2026. The Company may redeem the Notes, in whole or in part, at any time or from time to time prior to their maturity at the redemption price described in the Notes. Additionally, upon the occurrence of a change of control, as defined in the Notes, the Company will be required to make an offer to purchase the Notes at a price equal to 101% of their principal amount, plus accrued and unpaid interest, if any, to, but excluding, the date of repurchase.</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Indenture provides, among other things, that the Notes will be unsecured senior obligations of the Company and will rank equally with all of the Company’s other unsecured and unsubordinated indebtedness from time to time outstanding.</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Indenture imposes certain limitations on the ability of the Company and its restricted subsidiaries, as defined in the Indenture, to create or incur liens and to enter into sale and leaseback transactions. The Indenture also imposes certain limitations on the ability of the Company to merge or consolidate with or into any other person or sell, transfer, assign, lease, convey or otherwise dispose of all or substantially all of the property of the Company in any one transaction or series of related transactions.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Indenture provides for customary events of default which include (subject in certain cases to customary grace and cure periods), among others: nonpayment of principal or interest, breach of covenants or other agreements in the Indenture, defaults in or failure to pay certain other indebtedness, and certain events of bankruptcy or insolvency.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 one of the Underwriters, is an affiliate of the Trustee.</w:t>
      </w:r>
    </w:p>
    <w:p>
      <w:pPr>
        <w:sectPr>
          <w:pgSz w:w="11900" w:h="16838" w:orient="portrait"/>
          <w:cols w:equalWidth="0" w:num="1">
            <w:col w:w="11000"/>
          </w:cols>
          <w:pgMar w:left="440" w:top="293"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Indenture and the Notes does not purport to be complete and is qualified in its entirety by reference to the Indenture and the form of global note representing the Notes, which are included as Exhibits 4.1 and 4.2, respectively, to this report and incorporated by reference herein.</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Wilmer Cutler Pickering Hale and Dorr LLP, counsel to the Company, has issued an opinion to the Company, dated February 5, 2026, regarding the legality of the Notes. A copy of this opinion is filed as Exhibit 5.1 hereto.</w:t>
      </w:r>
    </w:p>
    <w:p>
      <w:pPr>
        <w:sectPr>
          <w:pgSz w:w="11900" w:h="16838" w:orient="portrait"/>
          <w:cols w:equalWidth="0" w:num="1">
            <w:col w:w="11000"/>
          </w:cols>
          <w:pgMar w:left="440" w:top="297" w:right="459" w:bottom="1440" w:gutter="0" w:footer="0" w:header="0"/>
        </w:sectPr>
      </w:pPr>
    </w:p>
    <w:p>
      <w:pPr>
        <w:spacing w:after="0" w:line="306"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color w:val="auto"/>
        </w:rPr>
        <w:t>(d) Exhibits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0000EE"/>
        </w:rPr>
        <w:t>Underwriting Agreement, dated February 3, 2026, among the Company and BofA Securities, Inc., Truist Securities, Inc. and Wells Fargo Securities, LLC, as representatives of the several underwriters named in Schedule A thereto.</w:t>
      </w:r>
    </w:p>
    <w:p>
      <w:pPr>
        <w:spacing w:after="0" w:line="40" w:lineRule="exact"/>
        <w:rPr>
          <w:sz w:val="20"/>
          <w:szCs w:val="20"/>
          <w:color w:val="auto"/>
        </w:rPr>
      </w:pPr>
    </w:p>
    <w:p>
      <w:pPr>
        <w:sectPr>
          <w:pgSz w:w="11900" w:h="16838" w:orient="portrait"/>
          <w:cols w:equalWidth="0" w:num="2">
            <w:col w:w="860" w:space="140"/>
            <w:col w:w="10000"/>
          </w:cols>
          <w:pgMar w:left="440" w:top="297" w:right="4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Indenture between the Company and U.S. Bank National Association, dated as of July 8, 2011 (incorporated by reference from Exhibit 4.1</w:t>
              </w:r>
            </w:hyperlink>
          </w:p>
        </w:tc>
      </w:tr>
      <w:tr>
        <w:trPr>
          <w:trHeight w:val="196"/>
        </w:trPr>
        <w:tc>
          <w:tcPr>
            <w:tcW w:w="1000" w:type="dxa"/>
            <w:vAlign w:val="bottom"/>
          </w:tcPr>
          <w:p>
            <w:pPr>
              <w:spacing w:after="0"/>
              <w:rPr>
                <w:sz w:val="17"/>
                <w:szCs w:val="17"/>
                <w:color w:val="auto"/>
              </w:rPr>
            </w:pPr>
          </w:p>
        </w:tc>
        <w:tc>
          <w:tcPr>
            <w:tcW w:w="9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to the Company’s Current Report on Form 8-K dated July 5, 2011, File No. 1-14920, as filed with the Securities and Exchange</w:t>
              </w:r>
            </w:hyperlink>
          </w:p>
        </w:tc>
        <w:tc>
          <w:tcPr>
            <w:tcW w:w="8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Commission on July 8, 2011)</w:t>
              </w:r>
              <w:r>
                <w:rPr>
                  <w:rFonts w:ascii="Times New Roman" w:cs="Times New Roman" w:eastAsia="Times New Roman" w:hAnsi="Times New Roman"/>
                  <w:sz w:val="18"/>
                  <w:szCs w:val="18"/>
                  <w:color w:val="000000"/>
                </w:rPr>
                <w:t>.</w:t>
              </w:r>
            </w:hyperlink>
          </w:p>
        </w:tc>
      </w:tr>
      <w:tr>
        <w:trPr>
          <w:trHeight w:val="20"/>
        </w:trPr>
        <w:tc>
          <w:tcPr>
            <w:tcW w:w="100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Global Note representing the 4.150% Notes due 2029.</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Wilmer Cutler Pickering Hale and Dorr LLP.</w:t>
            </w:r>
          </w:p>
        </w:tc>
        <w:tc>
          <w:tcPr>
            <w:tcW w:w="5460" w:type="dxa"/>
            <w:vAlign w:val="bottom"/>
            <w:gridSpan w:val="3"/>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Wilmer Cutler Pickering Hale and Dorr LLP (included in Exhibit 5.1).</w:t>
            </w:r>
          </w:p>
        </w:tc>
        <w:tc>
          <w:tcPr>
            <w:tcW w:w="4080" w:type="dxa"/>
            <w:vAlign w:val="bottom"/>
            <w:gridSpan w:val="2"/>
          </w:tcPr>
          <w:p>
            <w:pPr>
              <w:spacing w:after="0"/>
              <w:rPr>
                <w:sz w:val="24"/>
                <w:szCs w:val="24"/>
                <w:color w:val="auto"/>
              </w:rPr>
            </w:pPr>
          </w:p>
        </w:tc>
      </w:tr>
      <w:tr>
        <w:trPr>
          <w:trHeight w:val="34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McCORMICK &amp; COMPANY, INCORPORATED</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Jeffery D. Schwartz</w:t>
            </w:r>
          </w:p>
        </w:tc>
      </w:tr>
      <w:tr>
        <w:trPr>
          <w:trHeight w:val="205"/>
        </w:trPr>
        <w:tc>
          <w:tcPr>
            <w:tcW w:w="3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February 5, 2026</w:t>
            </w:r>
          </w:p>
        </w:tc>
        <w:tc>
          <w:tcPr>
            <w:tcW w:w="24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Jeffery D. Schwartz</w:t>
            </w:r>
          </w:p>
        </w:tc>
      </w:tr>
      <w:tr>
        <w:trPr>
          <w:trHeight w:val="234"/>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McCORMICK &amp; COMPANY, INCORPORATED</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$500,000,000 4.150% Notes due 2029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February 3,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73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0"/>
                <w:szCs w:val="20"/>
                <w:color w:val="auto"/>
              </w:rPr>
            </w:pPr>
          </w:p>
        </w:tc>
      </w:tr>
      <w:tr>
        <w:trPr>
          <w:trHeight w:val="408"/>
        </w:trPr>
        <w:tc>
          <w:tcPr>
            <w:tcW w:w="11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 by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Certificates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Sale and Delivery of the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Closing Date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Offering of the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the Notes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Denominations; Registration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Covenants of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Representatives’ Review of Proposed Amendments and Supplements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with Securities Regulations and Commission Requests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of Registration Statements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of Prospectuses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Continued Compliance with Securities Laws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Final Term Sheet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Blue Sky Qualifications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Statement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(k)</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Depositary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Not to Offer or Sell Additional Securities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Requirements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Covenants of the Underwriters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Expenses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of Underwriters’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General Counsel for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Counsel for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Opinion of Counsel for Underwriters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Certificate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Accountants Comfort Letter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Bring-down Comfort Letter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Documents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this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Underwriters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of the Company, Directors and Officers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Actions against Parties; Notification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without Consent if Failure to Reimburse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this Agreement by the Representatives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 by One of the Several Underwriters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and Time</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Headings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MCCORMICK &amp; COMPANY,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 4.150% Notes due 2029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 Ladies and Gentlemen:</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McCormick &amp; Company, Incorporated, a Maryland corporation (the “Company”), proposes to issue and sell to BofA Securities, Inc., Truist Securities, Inc. and Wells Fargo Securities, LLC and each of the other Underwriters named in Schedule A hereto (each, an “Underwriter” and collectively, the “Underwriters,” which term shall also include any underwriter substituted as hereinafter provided in Section 11 hereof), acting severally and not jointly, for whom BofA Securities, Inc., Truist Securities, Inc. and Wells Fargo Securities, LLC are acting as representatives (in such capacity, the “Representatives”), the respective amounts set forth in such Schedule A hereto of $500,000,000 aggregate principal amount of the Company’s 4.150% Notes due 2029 (the “Notes” and the offer and sale of the Notes hereunder, the “Notes Offering”).</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Notes will be issued pursuant to the indenture, dated as of July 8, 2011 (the “Indenture”), between the Company and U.S. Bank Trust Company, National Association, as successor in interest to U.S. Bank National Association, as trustee (the “Trustee”). Certain terms of the Notes will be established pursuant to Section 3.1 of the Indenture. Notes issued in book-entry form will be issued in the name of Cede &amp; Co., as nominee of The Depository Trust Company (the “Depositary”), pursuant to a Letter of Representations, dated on or before the Closing Date (as defined herein), between the Company and the Depositary.</w:t>
      </w:r>
    </w:p>
    <w:p>
      <w:pPr>
        <w:spacing w:after="0" w:line="183"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registration statement on Form S-3 (No. 333-271070) for the registration of securities, including the Notes, under the Securities Act of 1933, as amended (the “1933 Act”), and the offering thereof from time to time in accordance with Rule 415 of the rules and regulations of the Commission under the 1933 Act (the “1933 Act Regulations”). Such registration statement automatically became effective upon filing and the Indenture has been duly qualified under the Trust Indenture Act of 1939, as amended (the “1939 Act”). Such registration statement, in the form in which it became effective under the 1933 Act, including any required information deemed to be a part thereof at the time of effectiveness pursuant to Rule 430B of the 1933 Act Regulations (the “Rule 430B Information”), is referred to herein as the “Registration Statement”; and the final prospectus and the final prospectus supplement relating to the Notes Offering, in the forms first furnished to the Underwriters by the Company for use in connection with the Notes Offering, are collectively referred to herein as the “Prospectus”; provided, however, that all references to the “Registration Statement” and the “Prospectus” shall also be deemed to include all documents incorporated therein by reference pursuant to the Securities Exchange Act of 1934, as amended (the “1934 Act”), prior to the Initial Sale Time (as defined herein); provided further that if the Company files a registration statement with the Commission pursuant to Rule 462(b) of the 1933 Act Regulations (the “Rule 462(b) Registration Statement”), then all references</w:t>
      </w:r>
    </w:p>
    <w:p>
      <w:pPr>
        <w:sectPr>
          <w:pgSz w:w="11900" w:h="16838" w:orient="portrait"/>
          <w:cols w:equalWidth="0" w:num="1">
            <w:col w:w="11020"/>
          </w:cols>
          <w:pgMar w:left="440" w:top="270" w:right="4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“Registration Statement” shall also be deemed to include the Rule 462(b) Registration Statement. A “preliminary prospectus” shall be deemed to refer to (i) any prospectus used before the Registration Statement became effective and (ii) any prospectus that omitted, as applicable, the Rule 430B Information or other information to be included upon pricing in a form of prospectus filed with the Commission pursuant to Rule 424(b) of the 1933 Act Regulations and was used after such effectiveness and prior to the initial delivery of the Prospectus to the Underwriters by the Company. The term “Pricing Prospectus” shall mean the prospectus, as amended or supplemented, relating to the Notes that is included in the Registration Statement immediately prior to the Initial Sale Time, including any document incorporated by reference therein at the Initial Sale Time, and any preliminary or other prospectus supplement deemed to be a part thereof at the Initial Sale Time. For purposes of this Agreement, all references to the Registration Statement, the Prospectus, the Pricing Prospectus or the preliminary prospectus, or to any amendment or supplement to any of the foregoing shall be deemed to include any copy filed with the Commission pursuant to its Electronic Data Gathering, Analysis and Retrieval system (“EDGAR”) or any successor.</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“disclosed,” “contained,” “included” or “stated” (or other references of like import) in the Registration Statement, the Prospectus, the Pricing Prospectus or any preliminary prospectus shall be deemed to mean and include all such financial statements and schedules and other information which are or are deemed to be incorporated by reference in the Registration Statement, the Prospectus, the Pricing Prospectus or such preliminary prospectus, as the case may be, prior to the Initial Sale Time, and all references in this Agreement to amendments or supplements to the Registration Statement, the Prospectus or any preliminary prospectus shall be deemed to include the filing of any document under the 1934 Act which is incorporated by reference in the Registration Statement, the Prospectus or such preliminary prospectus, as the case may be, after the Initial Sale Time.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987"/>
        <w:spacing w:after="0" w:line="284"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(and agrees with) each Underwriter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hereof, as of the Initial Sale Time and as of the Closing Date (in each case, a “Representation Date”), as follows:</w:t>
      </w:r>
    </w:p>
    <w:p>
      <w:pPr>
        <w:spacing w:after="0" w:line="52"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Company meets the requirements for use of Form S-3 under the 1933 Act. The Registration Statement (including any Rule 462(b) Registration Statement) is effective under the 1933 Act and no stop order suspending the effectiveness of the Registration Statement (or such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 In addition, the Indenture has been duly qualified under the 1939 Act.</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The Registration Statement (including any Rule 462(b) Registration Statement), at the time it or any post-effective amendment thereto (including the filing of the Company’s most recent Annual Report on Form 10-K with the Commission) became effective and at the Representation Date, complied and will comply in all material respects with the requirements of the 1933 Act, the 1933 Act Regulations, the 1939 Act and the rules and regulations of the Commission under the 1939 Act and did not and will not contain an untrue statement of a material fact or omit to state a material fact required to be stated therein or necessary to make the statements therein not misleading. The Prospectus, as amended or supplemented, as of its date and at the Closing Date, did not and will not contain an untrue statement of a material fact or omit to state a material fact necessary in order to make the statements therein, in the light of the circumstances under which they were made, not misleading; provided, that,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in writing by any Underwriter through the Representatives expressly for use therein, it being understood and agreed that the only such information furnished by any Underwriter consists of the information described as such in Section 7(b) hereof; and the foregoing representations and warranties are given on the basis that any statement contained in a document incorporated or deemed to be incorporated in the Registration Statement or the Prospectus prior to the Initial Sale Time shall be deemed not to be contained in the Registration Statement or the Prospectus if such statement has been modified or superseded by any statement in the Registration Statement or the Prospectus; provided, further, that the representations and warranties in this subsection shall not apply to that part of the Registration Statement that constitutes the Statement of Eligibility (Form T-1) of the Trustee under the 1939 Act.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prospectus filed as part of the Registration Statement as originally filed and the preliminary prospectus supplement filed pursuant to Rule 424 under the 1933 Act complied when so filed in all material respects with the 1933 Act Regulations, and the preliminary prospectus supplement and the Prospectus delivered to the Underwriters for use in connection with the Notes Offering will, at the time of such delivery, be identical to any electronically transmitted copies thereof filed with the Commission pursuant to EDGAR, except to the extent permitted by Regulation S-T.</w:t>
      </w:r>
    </w:p>
    <w:p>
      <w:pPr>
        <w:spacing w:after="0" w:line="164" w:lineRule="exact"/>
        <w:rPr>
          <w:sz w:val="20"/>
          <w:szCs w:val="20"/>
          <w:color w:val="auto"/>
        </w:rPr>
      </w:pPr>
    </w:p>
    <w:p>
      <w:pPr>
        <w:ind w:right="40" w:firstLine="1428"/>
        <w:spacing w:after="0" w:line="255"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the Pricing Prospectus and the Prospectus, (i) at the time they were or hereafter are filed with the Commission, complied and will comply in all material respects with the requirements of the 1934 Act and the rules and regulations of the Commission thereunder (the “1934 Act Regulations”) and (ii) when read together with the other information in the Disclosure Package (as defined herein), at the Initial Sale Time, and when read together with the other information in the Prospectus, at the date of the Prospectus and at the Closing Date, did not and will not include an untrue statement of a material fact or omit to state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200" w:firstLine="1428"/>
        <w:spacing w:after="0" w:line="255"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The term “Disclosure Package” shall mean (i) the Pricing Prospectus and (ii) the issuer free writing prospectuses as defined in Rule 433 of the 1933 Act (each, an “Issuer Free Writing Prospectus”), if any, as set forth in Schedule B hereto. As of 2:50 P.M. (Eastern time) on the date of this Agreement (the “Initial Sale Time”),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specifically for use therein, it being understood and agreed that the only such information furnished by any Underwriter consists of the information described as such in Section 7(b) hereof.</w:t>
      </w:r>
    </w:p>
    <w:p>
      <w:pPr>
        <w:spacing w:after="0" w:line="188" w:lineRule="exact"/>
        <w:rPr>
          <w:rFonts w:ascii="Times New Roman" w:cs="Times New Roman" w:eastAsia="Times New Roman" w:hAnsi="Times New Roman"/>
          <w:sz w:val="18"/>
          <w:szCs w:val="18"/>
          <w:color w:val="auto"/>
        </w:rPr>
      </w:pPr>
    </w:p>
    <w:p>
      <w:pPr>
        <w:ind w:right="60" w:firstLine="1428"/>
        <w:spacing w:after="0" w:line="256" w:lineRule="auto"/>
        <w:tabs>
          <w:tab w:leader="none" w:pos="1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 Status</w:t>
      </w:r>
      <w:r>
        <w:rPr>
          <w:rFonts w:ascii="Times New Roman" w:cs="Times New Roman" w:eastAsia="Times New Roman" w:hAnsi="Times New Roman"/>
          <w:sz w:val="18"/>
          <w:szCs w:val="18"/>
          <w:color w:val="auto"/>
        </w:rPr>
        <w:t>. (i) At the time of filing the Registration Statement, (ii) at the time of the most recent amendment thereto for the purposes of complying with Section 10(a)(3) of the 1933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1933 Act) made any offer relating to the Notes in reliance on the exemption of Rule 163 of the 1933 Act, and (iv) as of the date hereof, the Company was and is a “well known seasoned issuer” as defined in Rule 405 of the 1933 Act.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Registration Statement is an “automatic shelf registration statement,” as defined in Rule 405 of the 1933 Act, that automatically became effective not more than three years prior to the date hereof; the Company has not received from the Commission any notice pursuant to Rule 401(g)(2) of the 1933 Act or otherwise objecting to use of the automatic shelf registration statement form and the Company has not otherwise ceased to be eligible to use the automatic shelf registration form.</w:t>
      </w:r>
    </w:p>
    <w:p>
      <w:pPr>
        <w:spacing w:after="0" w:line="180" w:lineRule="exact"/>
        <w:rPr>
          <w:sz w:val="20"/>
          <w:szCs w:val="20"/>
          <w:color w:val="auto"/>
        </w:rPr>
      </w:pPr>
    </w:p>
    <w:p>
      <w:pPr>
        <w:jc w:val="both"/>
        <w:ind w:right="320" w:firstLine="1428"/>
        <w:spacing w:after="0" w:line="266" w:lineRule="auto"/>
        <w:tabs>
          <w:tab w:leader="none" w:pos="16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(i) At the time of filing the Registration Statement and (ii) as of the date of the execution and delivery of this Agreement (with such date being used as the determination date for purposes of this clause (ii)), the Company was not and is not an Ineligible Issuer (as defined in Rule 405 of the 1933 Act).</w:t>
      </w:r>
    </w:p>
    <w:p>
      <w:pPr>
        <w:spacing w:after="0" w:line="175"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Each Issuer Free Writing Prospectus, as of its issue date and at all subsequent times through the completion of the Notes Offering under this Agreement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any preliminary prospectus or the Prospectus,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Company by any Underwriter specifically for use therein, it being understood and agreed that the only such information furnished by any Underwriter through the Representatives consists of the information described as such in Section 7(b) hereof.</w:t>
      </w:r>
    </w:p>
    <w:p>
      <w:pPr>
        <w:spacing w:after="0" w:line="187" w:lineRule="exact"/>
        <w:rPr>
          <w:sz w:val="20"/>
          <w:szCs w:val="20"/>
          <w:color w:val="auto"/>
        </w:rPr>
      </w:pPr>
    </w:p>
    <w:p>
      <w:pPr>
        <w:ind w:left="4" w:right="120" w:firstLine="1428"/>
        <w:spacing w:after="0" w:line="261" w:lineRule="auto"/>
        <w:tabs>
          <w:tab w:leader="none" w:pos="16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has not distributed and will not distribute, prior to the later of the Closing Date and the completion of the Underwriters’ distribution of the Notes, any offering material in connection with the Notes Offering other than a preliminary prospectus, the Prospectus and the Issuer Free Writing Prospectus reviewed and consented to by the Representatives and included in Schedule B hereto, or the Registration Statement.</w:t>
      </w:r>
    </w:p>
    <w:p>
      <w:pPr>
        <w:spacing w:after="0" w:line="179" w:lineRule="exact"/>
        <w:rPr>
          <w:rFonts w:ascii="Times New Roman" w:cs="Times New Roman" w:eastAsia="Times New Roman" w:hAnsi="Times New Roman"/>
          <w:sz w:val="18"/>
          <w:szCs w:val="18"/>
          <w:color w:val="auto"/>
        </w:rPr>
      </w:pPr>
    </w:p>
    <w:p>
      <w:pPr>
        <w:ind w:left="4" w:right="200" w:firstLine="1428"/>
        <w:spacing w:after="0" w:line="261" w:lineRule="auto"/>
        <w:tabs>
          <w:tab w:leader="none" w:pos="16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Independent Accountants</w:t>
      </w:r>
      <w:r>
        <w:rPr>
          <w:rFonts w:ascii="Times New Roman" w:cs="Times New Roman" w:eastAsia="Times New Roman" w:hAnsi="Times New Roman"/>
          <w:sz w:val="18"/>
          <w:szCs w:val="18"/>
          <w:color w:val="auto"/>
        </w:rPr>
        <w:t>. Ernst &amp; Young LLP, who have expressed their opinion with respect to certain of the financial statements (which term as used in this Agreement includes the related notes thereto) and any supporting schedules thereto included in the Registration Statement, the Pricing Prospectus and the Prospectus, are independent public accountants with respect to the Company as required by the 1933 Act, the 1933 Act Regulations, the 1934 Act and the 1934 Act Regulations.</w:t>
      </w:r>
    </w:p>
    <w:p>
      <w:pPr>
        <w:spacing w:after="0" w:line="179" w:lineRule="exact"/>
        <w:rPr>
          <w:rFonts w:ascii="Times New Roman" w:cs="Times New Roman" w:eastAsia="Times New Roman" w:hAnsi="Times New Roman"/>
          <w:sz w:val="18"/>
          <w:szCs w:val="18"/>
          <w:color w:val="auto"/>
        </w:rPr>
      </w:pPr>
    </w:p>
    <w:p>
      <w:pPr>
        <w:ind w:left="4" w:firstLine="1428"/>
        <w:spacing w:after="0" w:line="272" w:lineRule="auto"/>
        <w:tabs>
          <w:tab w:leader="none" w:pos="169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 of the Company</w:t>
      </w:r>
      <w:r>
        <w:rPr>
          <w:rFonts w:ascii="Times New Roman" w:cs="Times New Roman" w:eastAsia="Times New Roman" w:hAnsi="Times New Roman"/>
          <w:sz w:val="17"/>
          <w:szCs w:val="17"/>
          <w:color w:val="auto"/>
        </w:rPr>
        <w:t>. The consolidated financial statements of the Company included in the Registration Statement, the Pricing Prospectus and the Prospectus, together with the related schedules and notes, present fairly the financial position of the Company and its consolidated subsidiaries, at the dates indicated, and the statement of income, shareholders’ equity and cash flows of the Company and its consolidated subsidiaries, for the periods specified. Such financial statements have been prepared in conformity with generally accepted accounting principles in the United States (“GAAP”) applied on a consistent basis throughout the periods involved. The supporting schedules, if any, included in the Registration Statement present fairly in accordance with GAAP the information required to be stated therein. The selected financial data and the summary financial information included in each of the Pricing Prospectus and the Prospectus present fairly the information shown therein and have been compiled on a basis consistent with that of the financial statements included in the Registration Statement, the Pricing Prospectus and the Prospectus.</w:t>
      </w:r>
    </w:p>
    <w:p>
      <w:pPr>
        <w:spacing w:after="0" w:line="171" w:lineRule="exact"/>
        <w:rPr>
          <w:rFonts w:ascii="Times New Roman" w:cs="Times New Roman" w:eastAsia="Times New Roman" w:hAnsi="Times New Roman"/>
          <w:sz w:val="17"/>
          <w:szCs w:val="17"/>
          <w:color w:val="auto"/>
        </w:rPr>
      </w:pPr>
    </w:p>
    <w:p>
      <w:pPr>
        <w:ind w:left="4" w:right="140" w:firstLine="1428"/>
        <w:spacing w:after="0" w:line="254" w:lineRule="auto"/>
        <w:tabs>
          <w:tab w:leader="none" w:pos="178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Disclosure Package, except as otherwise stated therein,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arising in the ordinary course of business, which are material with respect to the Company and its subsidiaries considered as one enterprise, and</w:t>
      </w:r>
    </w:p>
    <w:p>
      <w:pPr>
        <w:spacing w:after="0" w:line="3" w:lineRule="exact"/>
        <w:rPr>
          <w:rFonts w:ascii="Times New Roman" w:cs="Times New Roman" w:eastAsia="Times New Roman" w:hAnsi="Times New Roman"/>
          <w:sz w:val="18"/>
          <w:szCs w:val="18"/>
          <w:color w:val="auto"/>
        </w:rPr>
      </w:pPr>
    </w:p>
    <w:p>
      <w:pPr>
        <w:jc w:val="both"/>
        <w:ind w:left="4" w:right="220" w:hanging="4"/>
        <w:spacing w:after="0" w:line="255" w:lineRule="auto"/>
        <w:tabs>
          <w:tab w:leader="none" w:pos="2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regular dividends on the Company’s common stock or preferred stock, in amounts per share that are consistent with past practice or the applicable charter document or supplement thereto, respectively, there has been no dividend or distribution of any kind declared, paid or made by the Company on any class of its capital stock.</w:t>
      </w:r>
    </w:p>
    <w:p>
      <w:pPr>
        <w:spacing w:after="0" w:line="185" w:lineRule="exact"/>
        <w:rPr>
          <w:rFonts w:ascii="Times New Roman" w:cs="Times New Roman" w:eastAsia="Times New Roman" w:hAnsi="Times New Roman"/>
          <w:sz w:val="18"/>
          <w:szCs w:val="18"/>
          <w:color w:val="auto"/>
        </w:rPr>
      </w:pPr>
    </w:p>
    <w:p>
      <w:pPr>
        <w:ind w:left="4" w:right="80" w:firstLine="1428"/>
        <w:spacing w:after="0" w:line="256" w:lineRule="auto"/>
        <w:tabs>
          <w:tab w:leader="none" w:pos="177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Disclosure Package and the Prospectus and to enter into and perform its obligations under, or as contemplated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result in a Material Adverse Effect.</w:t>
      </w:r>
    </w:p>
    <w:p>
      <w:pPr>
        <w:spacing w:after="0" w:line="187" w:lineRule="exact"/>
        <w:rPr>
          <w:rFonts w:ascii="Times New Roman" w:cs="Times New Roman" w:eastAsia="Times New Roman" w:hAnsi="Times New Roman"/>
          <w:sz w:val="18"/>
          <w:szCs w:val="18"/>
          <w:color w:val="auto"/>
        </w:rPr>
      </w:pPr>
    </w:p>
    <w:p>
      <w:pPr>
        <w:jc w:val="both"/>
        <w:ind w:left="4" w:right="340" w:firstLine="1428"/>
        <w:spacing w:after="0" w:line="266" w:lineRule="auto"/>
        <w:tabs>
          <w:tab w:leader="none" w:pos="17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subsidiary of the Company that is a “significant subsidiary” as such term is defined in Rule 1-02 of Regulation S-X promulgated under the 1933 Act (each, a “Significant Subsidiary”) has been duly organized and is validly existing as a corporation in good standing under the laws of the jurisdiction of its incorporation, has corporate power and authority to own, lease and operate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to so qualify or be in good standing would not result in a Material Adverse Effect. Except as otherwise stated in the Disclosure Package and the Prospectus, all of the issued and outstanding capital stock of each Significant Subsidiary has been duly authorized and is validly issued, fully paid and non-assessable and is owned by the Company, directly or through subsidiaries, free and clear of any security interest, mortgage, pledge, lien, encumbrance, claim or equity. None of the outstanding shares of capital stock of any Significant Subsidiary was issued in violation of preemptive or other similar rights of any securityholder of such Significant Subsidiary.</w:t>
      </w:r>
    </w:p>
    <w:p>
      <w:pPr>
        <w:spacing w:after="0" w:line="189" w:lineRule="exact"/>
        <w:rPr>
          <w:sz w:val="20"/>
          <w:szCs w:val="20"/>
          <w:color w:val="auto"/>
        </w:rPr>
      </w:pPr>
    </w:p>
    <w:p>
      <w:pPr>
        <w:ind w:right="320" w:firstLine="1428"/>
        <w:spacing w:after="0" w:line="261"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as of November 30, 2025 conforms in all material respects to the descriptions thereof incorporated by reference in the Disclosure Package and the Prospectus. Such shares of capital stock have been duly authorized and validly issued by the Company and are fully paid and non-assessable, and none of such shares of capital stock was issued in violation of preemptive or other similar rights of any securityholder of the Company.</w:t>
      </w:r>
    </w:p>
    <w:p>
      <w:pPr>
        <w:spacing w:after="0" w:line="179"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40" w:firstLine="1428"/>
        <w:spacing w:after="0" w:line="254"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Notes</w:t>
      </w:r>
      <w:r>
        <w:rPr>
          <w:rFonts w:ascii="Times New Roman" w:cs="Times New Roman" w:eastAsia="Times New Roman" w:hAnsi="Times New Roman"/>
          <w:sz w:val="18"/>
          <w:szCs w:val="18"/>
          <w:color w:val="auto"/>
        </w:rPr>
        <w:t>. The Notes have been duly authorized by the Company for issuance and sale pursuant to this Agreement and the Indenture and, at the Closing Date, will have been duly executed by the Company and, when issued and authenticated in the manner provided for in the Indenture and delivered against payment of the purchase price therefor, will constitute valid and binding obligations of the Company, enforceable against the Company in accordance with their terms, except as the enforcement thereof may be limited by bankruptcy, insolvency (including, without limitation, all laws relating to fraudulent transfers), reorganization, moratorium or other similar laws affecting the enforcement of creditors’ rights generally or by general equitable principles (regardless of whether enforcement is considered in a proceeding in equity or at law), and will be entitled to the benefits of the Indenture. Such Notes are in the form contemplated by, and each registered holder thereof will be entitled to the benefits of, the Indenture.</w:t>
      </w:r>
    </w:p>
    <w:p>
      <w:pPr>
        <w:spacing w:after="0" w:line="191" w:lineRule="exact"/>
        <w:rPr>
          <w:rFonts w:ascii="Times New Roman" w:cs="Times New Roman" w:eastAsia="Times New Roman" w:hAnsi="Times New Roman"/>
          <w:sz w:val="18"/>
          <w:szCs w:val="18"/>
          <w:color w:val="auto"/>
        </w:rPr>
      </w:pPr>
    </w:p>
    <w:p>
      <w:pPr>
        <w:ind w:right="280" w:firstLine="1428"/>
        <w:spacing w:after="0" w:line="258"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Indenture</w:t>
      </w:r>
      <w:r>
        <w:rPr>
          <w:rFonts w:ascii="Times New Roman" w:cs="Times New Roman" w:eastAsia="Times New Roman" w:hAnsi="Times New Roman"/>
          <w:sz w:val="18"/>
          <w:szCs w:val="18"/>
          <w:color w:val="auto"/>
        </w:rPr>
        <w:t>. The Indenture has been duly qualified under the 1939 Act. The Indenture has been duly authorized by the Company and constitutes a valid and binding agreement of the Company, enforceable against the Company in accordance with its terms, except as the enforcement thereof may be limited by bankruptcy, insolvency (including, without limitation, all laws relating to fraudulent transfers), reorganization, moratorium or other similar laws affecting the enforcement of creditors’ rights generally or by general equitable principles (regardless of whether enforcement is considered in a proceeding in equity or at law).</w:t>
      </w:r>
    </w:p>
    <w:p>
      <w:pPr>
        <w:spacing w:after="0" w:line="183" w:lineRule="exact"/>
        <w:rPr>
          <w:rFonts w:ascii="Times New Roman" w:cs="Times New Roman" w:eastAsia="Times New Roman" w:hAnsi="Times New Roman"/>
          <w:sz w:val="18"/>
          <w:szCs w:val="18"/>
          <w:color w:val="auto"/>
        </w:rPr>
      </w:pPr>
    </w:p>
    <w:p>
      <w:pPr>
        <w:ind w:right="220" w:firstLine="1428"/>
        <w:spacing w:after="0" w:line="266"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the Notes</w:t>
      </w:r>
      <w:r>
        <w:rPr>
          <w:rFonts w:ascii="Times New Roman" w:cs="Times New Roman" w:eastAsia="Times New Roman" w:hAnsi="Times New Roman"/>
          <w:sz w:val="18"/>
          <w:szCs w:val="18"/>
          <w:color w:val="auto"/>
        </w:rPr>
        <w:t>. The Notes will conform in all material respects to the statements relating thereto contained in the Disclosure Package and the Prospectus and will be in substantially the form filed or incorporated by reference, as the case may be, as an exhibit to the Registration Statement.</w:t>
      </w:r>
    </w:p>
    <w:p>
      <w:pPr>
        <w:spacing w:after="0" w:line="175" w:lineRule="exact"/>
        <w:rPr>
          <w:rFonts w:ascii="Times New Roman" w:cs="Times New Roman" w:eastAsia="Times New Roman" w:hAnsi="Times New Roman"/>
          <w:sz w:val="18"/>
          <w:szCs w:val="18"/>
          <w:color w:val="auto"/>
        </w:rPr>
      </w:pPr>
    </w:p>
    <w:p>
      <w:pPr>
        <w:ind w:right="120" w:firstLine="1428"/>
        <w:spacing w:after="0" w:line="266"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the Indenture</w:t>
      </w:r>
      <w:r>
        <w:rPr>
          <w:rFonts w:ascii="Times New Roman" w:cs="Times New Roman" w:eastAsia="Times New Roman" w:hAnsi="Times New Roman"/>
          <w:sz w:val="18"/>
          <w:szCs w:val="18"/>
          <w:color w:val="auto"/>
        </w:rPr>
        <w:t>. The Indenture will conform in all material respects to the statements relating thereto contained in the Disclosure Package and the Prospectus and will be in substantially the form filed or incorporated by reference, as the case may be, as an exhibit to the Registration Statement.</w:t>
      </w:r>
    </w:p>
    <w:p>
      <w:pPr>
        <w:spacing w:after="0" w:line="175" w:lineRule="exact"/>
        <w:rPr>
          <w:rFonts w:ascii="Times New Roman" w:cs="Times New Roman" w:eastAsia="Times New Roman" w:hAnsi="Times New Roman"/>
          <w:sz w:val="18"/>
          <w:szCs w:val="18"/>
          <w:color w:val="auto"/>
        </w:rPr>
      </w:pPr>
    </w:p>
    <w:p>
      <w:pPr>
        <w:ind w:right="80" w:firstLine="1428"/>
        <w:spacing w:after="0" w:line="254" w:lineRule="auto"/>
        <w:tabs>
          <w:tab w:leader="none" w:pos="1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Neither the Company nor any of its Significant Subsidiaries is in violation of its charter or by-laws or is in default in the performance or observance of any obligation, agreement, covenant or condition contained in any contract, indenture, mortgage, deed of trust, loan or credit agreement, note, lease or other agreement or instrument to which the Company or any of its Significant Subsidiaries is a party or by which it or any of them may be bound, or to which any of the assets, properties or operations of the Company or any of its Significant Subsidiaries is subject (collectively, “Agreements and Instruments”), except for such defaults that would not result in a Material Adverse Effect. The execution, delivery and performance of this Agreement and the Indenture and any other agreement or instrument entered into or issued or to be entered into or issued by the Company in connection with the transactions contemplated hereby or thereby and the consummation of the transactions contemplated herein and in the Registration Statement, the Disclosure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 w:name="page13"/>
    <w:bookmarkEnd w:id="1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Package and the Prospectus (including the issuance and sale of the Notes and the use of the proceeds from the sale of the Notes as described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herein) under, or result in the creation or imposition of any lien, charge or encumbrance upon any assets, properties or operations of the Company or any of its Significant Subsidiaries pursuant to, any Agreements and Instruments, except as would not reasonably be expected to have a Material Adverse Effect, nor will such action result in any violation of the provisions of the charter or by-laws of the Company or any of its Significant Subsidiaries or any applicable law, statute, rule, regulation, judgment, order, writ or decree of any government, government instrumentality or court, domestic or foreign, having jurisdiction over the Company or any of its subsidiaries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92" w:lineRule="exact"/>
        <w:rPr>
          <w:sz w:val="20"/>
          <w:szCs w:val="20"/>
          <w:color w:val="auto"/>
        </w:rPr>
      </w:pPr>
    </w:p>
    <w:p>
      <w:pPr>
        <w:ind w:firstLine="1428"/>
        <w:spacing w:after="0" w:line="261" w:lineRule="auto"/>
        <w:tabs>
          <w:tab w:leader="none" w:pos="17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of its subsidiaries’ principal suppliers, manufacturers, customers or contractors, which, in either case, may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right="160" w:firstLine="1428"/>
        <w:spacing w:after="0" w:line="281" w:lineRule="auto"/>
        <w:tabs>
          <w:tab w:leader="none" w:pos="17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Business Interruptions</w:t>
      </w:r>
      <w:r>
        <w:rPr>
          <w:rFonts w:ascii="Times New Roman" w:cs="Times New Roman" w:eastAsia="Times New Roman" w:hAnsi="Times New Roman"/>
          <w:sz w:val="17"/>
          <w:szCs w:val="17"/>
          <w:color w:val="auto"/>
        </w:rPr>
        <w:t>. Except as described in the Disclosure Package, neither the Company nor any of its subsidiaries has sustained, since the date of the latest audited financial statements included or incorporated by reference in the Registration Statement, the Pricing Prospectus and the Prospectus as amended or supplemented, any loss or interference with its business from fire, explosion, flood or other calamity, whether or not covered by insurance, which, in either case, may reasonably be expected to result in a Material Adverse Effect.</w:t>
      </w:r>
    </w:p>
    <w:p>
      <w:pPr>
        <w:spacing w:after="0" w:line="164" w:lineRule="exact"/>
        <w:rPr>
          <w:rFonts w:ascii="Times New Roman" w:cs="Times New Roman" w:eastAsia="Times New Roman" w:hAnsi="Times New Roman"/>
          <w:sz w:val="17"/>
          <w:szCs w:val="17"/>
          <w:color w:val="auto"/>
        </w:rPr>
      </w:pPr>
    </w:p>
    <w:p>
      <w:pPr>
        <w:ind w:right="80" w:firstLine="1428"/>
        <w:spacing w:after="0" w:line="254" w:lineRule="auto"/>
        <w:tabs>
          <w:tab w:leader="none" w:pos="17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action, suit, proceeding, inquiry or investigation before or brought by any court or governmental agency or body, domestic or foreign, now pending, or to the knowledge of the Company threatened, against or affecting the Company or any of its subsidiaries which is required to be disclosed in the Registration Statement, the Disclosure Package and the Prospectus (other than as stated therein), or which might reasonably be expected to result in a Material Adverse Effect or which might reasonably be expected to materially and adversely affect the consummation of the transactions contemplated under this Agreement or the Indenture or the performance by the Company of its obligations hereunder and thereunder. The aggregate of all pending legal or governmental proceedings to which the Company or any of its subsidiaries is a party or of which any of their respective assets, properties or operations is the subject which are not described in the Registration Statement, the Disclosure Package and the Prospectus, including ordinary routine litigation incidental to the business, could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right="140" w:firstLine="1428"/>
        <w:spacing w:after="0" w:line="266" w:lineRule="auto"/>
        <w:tabs>
          <w:tab w:leader="none" w:pos="17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franchises, contracts or documents which are required to be described in the Registration Statement, the Disclosure Package, the Prospectus or the documents incorporated by reference therein or to be filed as exhibits thereto which have not been so described and filed as required.</w:t>
      </w:r>
    </w:p>
    <w:p>
      <w:pPr>
        <w:spacing w:after="0" w:line="175" w:lineRule="exact"/>
        <w:rPr>
          <w:rFonts w:ascii="Times New Roman" w:cs="Times New Roman" w:eastAsia="Times New Roman" w:hAnsi="Times New Roman"/>
          <w:sz w:val="18"/>
          <w:szCs w:val="18"/>
          <w:color w:val="auto"/>
        </w:rPr>
      </w:pPr>
    </w:p>
    <w:p>
      <w:pPr>
        <w:ind w:firstLine="1428"/>
        <w:spacing w:after="0" w:line="254" w:lineRule="auto"/>
        <w:tabs>
          <w:tab w:leader="none" w:pos="17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domestic or foreign, is necessary or required for the due authorization, execution and delivery by the Company of this Agreement or for the performance by the Company of the transactions contemplated under this Agreement or the Indenture, except (i) such as have been already made, obtained or rendered, as applicable, (ii) as may be required under applicable state or foreign securities laws in connection with the purchase and distribution of the Notes by the Underwriters, (iii) that have been obtained or made or as may be required by the Financial Industry Regulatory Authority, Inc. (“FINRA”) or under applicable state securities laws in connection with the purchase and distribution of the Notes by the Underwriters and (iv) that, if not obtained, would not, individually or in the aggregate, affect the validity of the Notes or the ability of the Company to consummate the transactions contemplated by this Agreement.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3" w:name="page14"/>
    <w:bookmarkEnd w:id="13"/>
    <w:p>
      <w:pPr>
        <w:ind w:left="-20" w:firstLine="1428"/>
        <w:spacing w:after="0" w:line="254" w:lineRule="auto"/>
        <w:tabs>
          <w:tab w:leader="none" w:pos="1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except for any failure to own, possess or acquire, singly or in the aggregate, that could not reasonably be expected to result in a Material Adverse Effect.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except for any infringement or conflict (if the subject of any unfavorable decision, ruling or finding) or invalidity or inadequacy, singly or in the aggregate, that could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left="-20" w:right="80" w:firstLine="1428"/>
        <w:spacing w:after="0" w:line="271" w:lineRule="auto"/>
        <w:tabs>
          <w:tab w:leader="none" w:pos="17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non-possession of such Governmental Licenses could not reasonably be expected to result in a Material Adverse Effect. The Company and its subsidiaries are in compliance with the terms and conditions of all such Governmental Licenses, except where the failure so to comply could not reasonably be expected to, singly or in the aggregate, result in a Material Adverse Effect. All of the Governmental Licenses are valid and in full force and effect, except where the invalidity of such Governmental Licenses or the failure of such Governmental Licenses to be in full force and effect could not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73" w:lineRule="exact"/>
        <w:rPr>
          <w:rFonts w:ascii="Times New Roman" w:cs="Times New Roman" w:eastAsia="Times New Roman" w:hAnsi="Times New Roman"/>
          <w:sz w:val="17"/>
          <w:szCs w:val="17"/>
          <w:color w:val="auto"/>
        </w:rPr>
      </w:pPr>
    </w:p>
    <w:p>
      <w:pPr>
        <w:ind w:left="-20" w:right="120" w:firstLine="1428"/>
        <w:spacing w:after="0" w:line="254" w:lineRule="auto"/>
        <w:tabs>
          <w:tab w:leader="none" w:pos="1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Internal Controls and Procedures</w:t>
      </w:r>
      <w:r>
        <w:rPr>
          <w:rFonts w:ascii="Times New Roman" w:cs="Times New Roman" w:eastAsia="Times New Roman" w:hAnsi="Times New Roman"/>
          <w:sz w:val="18"/>
          <w:szCs w:val="18"/>
          <w:color w:val="auto"/>
        </w:rPr>
        <w:t>. The Company and its consolidated subsidiaries maintain (x)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the recorded accountability for assets is compared with the existing assets at reasonable intervals and appropriate action is taken with respect to any differences; and (iv) the interactive data in eXtensible Business Reporting Language incorporated by reference in the Registration Statement, the Pricing Prospectus and the Prospectus fairly presents the information called for in all material respects and is prepared in accordance with the Commission’s rules and guidelines applicable thereto, and (y) disclosure controls and procedures as defined in Rule 15d-15 under the 1934 Act.</w:t>
      </w:r>
    </w:p>
    <w:p>
      <w:pPr>
        <w:spacing w:after="0" w:line="191" w:lineRule="exact"/>
        <w:rPr>
          <w:rFonts w:ascii="Times New Roman" w:cs="Times New Roman" w:eastAsia="Times New Roman" w:hAnsi="Times New Roman"/>
          <w:sz w:val="18"/>
          <w:szCs w:val="18"/>
          <w:color w:val="auto"/>
        </w:rPr>
      </w:pPr>
    </w:p>
    <w:p>
      <w:pPr>
        <w:ind w:left="-20" w:right="280" w:firstLine="1428"/>
        <w:spacing w:after="0" w:line="266" w:lineRule="auto"/>
        <w:tabs>
          <w:tab w:leader="none" w:pos="1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 of 2002</w:t>
      </w:r>
      <w:r>
        <w:rPr>
          <w:rFonts w:ascii="Times New Roman" w:cs="Times New Roman" w:eastAsia="Times New Roman" w:hAnsi="Times New Roman"/>
          <w:sz w:val="18"/>
          <w:szCs w:val="18"/>
          <w:color w:val="auto"/>
        </w:rPr>
        <w:t>. The Company is, to its knowledge, in compliance in all material respects with the applicable provisions of the Sarbanes-Oxley Act of 2002 that are effective and the rules and regulations of the Commission that have been adopted and are effective thereunder.</w:t>
      </w:r>
    </w:p>
    <w:p>
      <w:pPr>
        <w:spacing w:after="0" w:line="175" w:lineRule="exact"/>
        <w:rPr>
          <w:rFonts w:ascii="Times New Roman" w:cs="Times New Roman" w:eastAsia="Times New Roman" w:hAnsi="Times New Roman"/>
          <w:sz w:val="18"/>
          <w:szCs w:val="18"/>
          <w:color w:val="auto"/>
        </w:rPr>
      </w:pPr>
    </w:p>
    <w:p>
      <w:pPr>
        <w:ind w:left="-20" w:firstLine="1428"/>
        <w:spacing w:after="0" w:line="253" w:lineRule="auto"/>
        <w:tabs>
          <w:tab w:leader="none" w:pos="1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(A) as otherwise stated in the Disclosure Package and the Prospectus or (B) those which do not, singly or in the aggregate, materially affect the value of such property and do not interfere with the use made and proposed to be made of such property by the Company or any of its subsidiaries. All of the leases and subleases material to the business of the Company and its subsidiaries considered as one enterprise, and under which the Company or any of its subsidiaries holds properties described in the Disclosure Package and the Prospectus, are in full force and effect, and neither the Company nor any of its subsidiaries has received any notice of any material claim of any sort that has been asserted by anyone adverse to the rights of the Company or any of its subsidiaries under any of the leases or subleases mentioned above, or affecting or questioning the rights of the Company or such subsidiary of the continued possession of the leased or subleased premises under any such lease or sublease, except where the failure of such leases or subleases to be in full force and effect and any such claim, if the subject of an unfavorable decision, ruling or finding, could not, singly or in the aggregate, reasonably be expected to result in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4" w:name="page15"/>
    <w:bookmarkEnd w:id="14"/>
    <w:p>
      <w:pPr>
        <w:ind w:left="4" w:firstLine="1428"/>
        <w:spacing w:after="0" w:line="256" w:lineRule="auto"/>
        <w:tabs>
          <w:tab w:leader="none" w:pos="17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Law Compliance</w:t>
      </w:r>
      <w:r>
        <w:rPr>
          <w:rFonts w:ascii="Times New Roman" w:cs="Times New Roman" w:eastAsia="Times New Roman" w:hAnsi="Times New Roman"/>
          <w:sz w:val="18"/>
          <w:szCs w:val="18"/>
          <w:color w:val="auto"/>
        </w:rPr>
        <w:t>. Except to the extent that any such failures would not, individually or in the aggregate, result in a Material Adverse Effect, the Company and its subsidiaries have filed all necessary federal, state and foreign income and franchise tax returns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1(a)(9) above in respect of all federal, state and foreign income and franchise taxes for all periods as to which the tax liability of the Company or any of its subsidiaries has not become due or been finally determined.</w:t>
      </w:r>
    </w:p>
    <w:p>
      <w:pPr>
        <w:spacing w:after="0" w:line="187" w:lineRule="exact"/>
        <w:rPr>
          <w:rFonts w:ascii="Times New Roman" w:cs="Times New Roman" w:eastAsia="Times New Roman" w:hAnsi="Times New Roman"/>
          <w:sz w:val="18"/>
          <w:szCs w:val="18"/>
          <w:color w:val="auto"/>
        </w:rPr>
      </w:pPr>
    </w:p>
    <w:p>
      <w:pPr>
        <w:ind w:left="4" w:firstLine="1428"/>
        <w:spacing w:after="0" w:line="266" w:lineRule="auto"/>
        <w:tabs>
          <w:tab w:leader="none" w:pos="17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Notes.</w:t>
      </w:r>
    </w:p>
    <w:p>
      <w:pPr>
        <w:spacing w:after="0" w:line="175" w:lineRule="exact"/>
        <w:rPr>
          <w:rFonts w:ascii="Times New Roman" w:cs="Times New Roman" w:eastAsia="Times New Roman" w:hAnsi="Times New Roman"/>
          <w:sz w:val="18"/>
          <w:szCs w:val="18"/>
          <w:color w:val="auto"/>
        </w:rPr>
      </w:pPr>
    </w:p>
    <w:p>
      <w:pPr>
        <w:ind w:left="4" w:right="80" w:firstLine="1428"/>
        <w:spacing w:after="0" w:line="268" w:lineRule="auto"/>
        <w:tabs>
          <w:tab w:leader="none" w:pos="178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Unlawful Contributions or Other Payments</w:t>
      </w:r>
      <w:r>
        <w:rPr>
          <w:rFonts w:ascii="Times New Roman" w:cs="Times New Roman" w:eastAsia="Times New Roman" w:hAnsi="Times New Roman"/>
          <w:sz w:val="17"/>
          <w:szCs w:val="17"/>
          <w:color w:val="auto"/>
        </w:rPr>
        <w:t>. None of the Company, any of its subsidiaries or, to the Company’s knowledge, any director, officer, agent, employee or affiliate of the Company or any of its subsidiaries has (i) used any funds for any unlawful contribution, gift, entertainment or other unlawful expense relating to political activity in violation of any applicable anti-bribery or anti-corruption laws;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189"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87" w:lineRule="exact"/>
        <w:rPr>
          <w:rFonts w:ascii="Times New Roman" w:cs="Times New Roman" w:eastAsia="Times New Roman" w:hAnsi="Times New Roman"/>
          <w:sz w:val="18"/>
          <w:szCs w:val="18"/>
          <w:color w:val="auto"/>
        </w:rPr>
      </w:pPr>
    </w:p>
    <w:p>
      <w:pPr>
        <w:ind w:left="4" w:right="40" w:firstLine="1428"/>
        <w:spacing w:after="0" w:line="270" w:lineRule="auto"/>
        <w:tabs>
          <w:tab w:leader="none" w:pos="178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 with OFAC Laws</w:t>
      </w:r>
      <w:r>
        <w:rPr>
          <w:rFonts w:ascii="Times New Roman" w:cs="Times New Roman" w:eastAsia="Times New Roman" w:hAnsi="Times New Roman"/>
          <w:sz w:val="17"/>
          <w:szCs w:val="17"/>
          <w:color w:val="auto"/>
        </w:rPr>
        <w:t>. Neither the Company nor any of its subsidiaries or, to the knowledge of the Company, any director, officer, employee, agent, affiliate or representative of the Company or any of its subsidiaries is an individual or entity (“Person”) currently the subject or the target of any sanctions administered or enforced by the U.S. Department of the Treasury’s Office of Foreign Assets Control, the United Nations Security Council, the European Union, His Majesty’s Treasury, or other relevant sanctions authority (collectively, “Sanctions”), nor is the Company or any of its subsidiaries located, organized or resident in a country or territory that is the subject of Sanctions, other than the Company’s subsidiary located in Ukraine and the Company’s subsidiary located in Russia, which subsidiary has ceased commercial operations. The Company will not, directly or indirectly, use the net proceeds of the offering, or lend, contribute or otherwise make available such proceeds of the offering to any subsidiary, joint venture partner or other Person, to (i) fund any activities of or business with any Person, or in any country or territory, that, at the time of such funding, will result in a violation by any Person (including any Person participating in the transaction, whether as advisor, investor or otherwise) of Sanctions or (ii) in any other manner that will result in a violation by any Person whether as underwriter, advisor, investor or otherwise of Sanctions.</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5" w:name="page16"/>
    <w:bookmarkEnd w:id="15"/>
    <w:p>
      <w:pPr>
        <w:jc w:val="both"/>
        <w:ind w:left="4" w:right="280" w:firstLine="1428"/>
        <w:spacing w:after="0" w:line="266" w:lineRule="auto"/>
        <w:tabs>
          <w:tab w:leader="none" w:pos="178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xml:space="preserve"> The Company is not, and upon the issuance and sale of the Notes as herein contemplated and the application of the net proceeds therefrom as described in the Disclosure Package and the Prospectus will not be, an “investment company” within the meaning of the Investment Company Act of 1940, as amended.</w:t>
      </w:r>
    </w:p>
    <w:p>
      <w:pPr>
        <w:spacing w:after="0" w:line="175" w:lineRule="exact"/>
        <w:rPr>
          <w:rFonts w:ascii="Times New Roman" w:cs="Times New Roman" w:eastAsia="Times New Roman" w:hAnsi="Times New Roman"/>
          <w:sz w:val="18"/>
          <w:szCs w:val="18"/>
          <w:color w:val="auto"/>
        </w:rPr>
      </w:pPr>
    </w:p>
    <w:p>
      <w:pPr>
        <w:ind w:left="4" w:firstLine="1428"/>
        <w:spacing w:after="0" w:line="252" w:lineRule="auto"/>
        <w:tabs>
          <w:tab w:leader="none" w:pos="178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otherwise stated in the Disclosure Package and the Prospectus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neither the Company nor any of its subsidiaries fails to possess any permit, authorization or approval required under any applicable Environmental Laws or to be in compliance with their requirements, (C)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w:t>
      </w:r>
    </w:p>
    <w:p>
      <w:pPr>
        <w:spacing w:after="0" w:line="3" w:lineRule="exact"/>
        <w:rPr>
          <w:rFonts w:ascii="Times New Roman" w:cs="Times New Roman" w:eastAsia="Times New Roman" w:hAnsi="Times New Roman"/>
          <w:sz w:val="18"/>
          <w:szCs w:val="18"/>
          <w:color w:val="auto"/>
        </w:rPr>
      </w:pPr>
    </w:p>
    <w:p>
      <w:pPr>
        <w:ind w:left="4" w:right="20" w:hanging="4"/>
        <w:spacing w:after="0" w:line="255" w:lineRule="auto"/>
        <w:tabs>
          <w:tab w:leader="none" w:pos="2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5"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78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To the Company’s knowledge, (i) the Company and its subsidiaries’ information technology assets and equipment, computers, systems, networks, hardware, software, websites, applications, and databases (collectively, “IT Systems”) are adequate for, and operate and perform as required in connection with the operation of the business of the Company and its subsidiaries as currently conducted, except for any such inadequacy or failure to operate or perform, as would not, individually or in the aggregate, have a Material Adverse Effect (ii)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except where the failure to do so would not, individually or in the aggregate, have a Material Adverse Effect (iii) there have been no breaches, violations, outages or unauthorized uses of or accesses to same, except for any such breach, violation, outage, unauthorized use or access as would not, individually or in the aggregate, have a Material Adverse Effect and (iv)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5" w:lineRule="exact"/>
        <w:rPr>
          <w:rFonts w:ascii="Times New Roman" w:cs="Times New Roman" w:eastAsia="Times New Roman" w:hAnsi="Times New Roman"/>
          <w:sz w:val="18"/>
          <w:szCs w:val="18"/>
          <w:color w:val="auto"/>
        </w:rPr>
      </w:pPr>
    </w:p>
    <w:p>
      <w:pPr>
        <w:ind w:left="4" w:right="80" w:firstLine="987"/>
        <w:spacing w:after="0" w:line="267"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and delivered to any Underwriter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to counsel for the Underwriters in connection with the Notes Offering shall be deemed to be a representation and warranty by the Company to each Underwriter as to the matters covered thereby on the date of such certificate.</w:t>
      </w:r>
    </w:p>
    <w:p>
      <w:pPr>
        <w:spacing w:after="0" w:line="175"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acknowledges that the Underwriters and, for purposes of the opinions to be delivered pursuant to Section 6 hereof, counsel for the Company and counsel for the Underwriters, will rely upon the accuracy and truthfulness of the foregoing representations and hereby consents to such reliance.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Purchase, Sale and Delivery of the Notes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4" w:right="80" w:firstLine="987"/>
        <w:spacing w:after="0" w:line="261"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Notes</w:t>
      </w:r>
      <w:r>
        <w:rPr>
          <w:rFonts w:ascii="Times New Roman" w:cs="Times New Roman" w:eastAsia="Times New Roman" w:hAnsi="Times New Roman"/>
          <w:sz w:val="18"/>
          <w:szCs w:val="18"/>
          <w:color w:val="auto"/>
        </w:rPr>
        <w:t>. The Company agrees to issue and sell to the several Underwriters, severally and not jointly, all of the Notes upon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On the basis of the representations, warranties and agreements herein contained, and upon the terms but subject to the conditions herein set forth, the Underwriters agree, severally and not jointly, to purchase from the Company the aggregate principal amount of Notes set forth opposite their names on Schedule A at a purchase price of 99.526% of the principal amount of the Notes, payable on the Closing Date.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6" w:name="page17"/>
    <w:bookmarkEnd w:id="16"/>
    <w:p>
      <w:pPr>
        <w:jc w:val="both"/>
        <w:ind w:right="40" w:firstLine="987"/>
        <w:spacing w:after="0" w:line="261"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Closing Date</w:t>
      </w:r>
      <w:r>
        <w:rPr>
          <w:rFonts w:ascii="Times New Roman" w:cs="Times New Roman" w:eastAsia="Times New Roman" w:hAnsi="Times New Roman"/>
          <w:sz w:val="18"/>
          <w:szCs w:val="18"/>
          <w:color w:val="auto"/>
        </w:rPr>
        <w:t>. Delivery of certificates for the Notes in global form to be purchased by the Underwriters and payment therefor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at the offices of Weil, Gotshal &amp; Manges LLP (or such other place as may be agreed to by the Company and the Representatives) at 9:00 A.M., New York City time, on February 5, 2026 or such other time and date thereafter as the Representatives and the Company shall agree (the time and date of such closing are called the “Closing Date”).</w:t>
      </w:r>
    </w:p>
    <w:p>
      <w:pPr>
        <w:spacing w:after="0" w:line="179" w:lineRule="exact"/>
        <w:rPr>
          <w:rFonts w:ascii="Times New Roman" w:cs="Times New Roman" w:eastAsia="Times New Roman" w:hAnsi="Times New Roman"/>
          <w:sz w:val="18"/>
          <w:szCs w:val="18"/>
          <w:color w:val="auto"/>
        </w:rPr>
      </w:pPr>
    </w:p>
    <w:p>
      <w:pPr>
        <w:ind w:right="220" w:firstLine="987"/>
        <w:spacing w:after="0" w:line="267"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Offering of the Notes</w:t>
      </w:r>
      <w:r>
        <w:rPr>
          <w:rFonts w:ascii="Times New Roman" w:cs="Times New Roman" w:eastAsia="Times New Roman" w:hAnsi="Times New Roman"/>
          <w:sz w:val="18"/>
          <w:szCs w:val="18"/>
          <w:color w:val="auto"/>
        </w:rPr>
        <w:t>. The Representatives hereby advise the Company that the Underwriters intend to offer for sale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as described in the Prospectus, their respective portions of the Notes as soon after this Agreement has been executed as the Representatives, in their sole judgment, have determined is advisable and practicable.</w:t>
      </w:r>
    </w:p>
    <w:p>
      <w:pPr>
        <w:spacing w:after="0" w:line="173"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the Notes</w:t>
      </w:r>
      <w:r>
        <w:rPr>
          <w:rFonts w:ascii="Times New Roman" w:cs="Times New Roman" w:eastAsia="Times New Roman" w:hAnsi="Times New Roman"/>
          <w:sz w:val="18"/>
          <w:szCs w:val="18"/>
          <w:color w:val="auto"/>
        </w:rPr>
        <w:t>. Payment shall be made to the Company by wire transfer of immediately available funds to a bank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by the Company, against delivery to the Representatives for the respective accounts of the Underwriters of the Notes to be purchased by them. It is understood that each Underwriter has authorized the Representatives, for its account, to accept delivery of, receipt for, and make payment of the purchase price for, the Notes, if any, which it has agreed to purchase. BofA Securities, Inc., Truist Securities, Inc. and Wells Fargo Securities, LLC individually and not as representatives of the Underwriters, may (but shall not be obligated to) make payment of the purchase price for the Notes, if any, to be purchased by any Underwriter whose funds have not been received by the Closing Date but such payment shall not relieve such Underwriter from its obligations hereunder.</w:t>
      </w:r>
    </w:p>
    <w:p>
      <w:pPr>
        <w:spacing w:after="0" w:line="182"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The Notes or certificates for the Notes, as applicable, shall be in such denominations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names as the Representatives may request in writing at least two full business days prior to the Closing Date. The Notes or certificates for the Notes, as applicable, will be made available for examination and packaging by the Representatives in The City of New York not later than 10:00 A.M. (Eastern time) on the business day prior to the Closing Date, or at such other place and time as shall be agreed upon by the Representatives and the Company or their respective counsel.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sz w:val="20"/>
          <w:szCs w:val="20"/>
          <w:color w:val="auto"/>
        </w:rPr>
      </w:pPr>
    </w:p>
    <w:p>
      <w:pPr>
        <w:ind w:firstLine="987"/>
        <w:spacing w:after="0" w:line="256"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Representatives’ Review of Proposed Amendments and Supplements</w:t>
      </w:r>
      <w:r>
        <w:rPr>
          <w:rFonts w:ascii="Times New Roman" w:cs="Times New Roman" w:eastAsia="Times New Roman" w:hAnsi="Times New Roman"/>
          <w:sz w:val="18"/>
          <w:szCs w:val="18"/>
          <w:color w:val="auto"/>
        </w:rPr>
        <w:t>. During such period beginning on the date hereof and 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later of the Closing Date or such date as, in the opinion of counsel for the Underwriters, the Prospectus is no longer required by law to be delivered in connection with sales by an Underwriter or dealer, including in circumstances where such requirement may be satisfied pursuant to Rule 172 (the “Prospectus Delivery Period”), prior to amending or supplementing the Registration Statement (including any Rule 462(b) Registration Statement filed), the Disclosure Package or the Prospectus (other than any amendment or supplement through incorporation by reference of any report filed under the 1934 Act), the Company shall furnish to the Representatives for review a copy of each such proposed amendment or supplement, and the Company shall not file any such proposed amendment or supplement to which the Representatives reasonably object.</w:t>
      </w:r>
    </w:p>
    <w:p>
      <w:pPr>
        <w:spacing w:after="0" w:line="182"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3(a),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430B of the 1933 Act Regulations and will notify the Representatives promptly, and confirm the notice in writing, of (i) the effectiveness of any post-effective amendment to the Registration Statement or the filing of any supplement or amendment to the preliminary prospectus or the Prospectus, (ii) the receipt of any comments from the Commission, (iii) any request by the Commission for any amendment to the Registration Statement or any amendment or supplement to the Prospectus or for additional information, and (iv) the issuance by the Commission of any stop order suspending the effectiveness of the Registration Statement or of any order preventing or suspending the use of any preliminary prospectus or the Prospectus, or of the suspension of the qualification of the Notes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Prospectus transmitted for filing under Rule 424 was received for filing by the Commission and, in the event that it was not, it will promptly file the Prospectus. The Company will use its reasonable best efforts to prevent the issuance of any stop order and, if any stop order is issued, to obtain the lifting thereof as soon as possible.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17" w:name="page18"/>
    <w:bookmarkEnd w:id="17"/>
    <w:p>
      <w:pPr>
        <w:jc w:val="both"/>
        <w:ind w:left="-20" w:firstLine="987"/>
        <w:spacing w:after="0" w:line="256"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Registration Statements</w:t>
      </w:r>
      <w:r>
        <w:rPr>
          <w:rFonts w:ascii="Times New Roman" w:cs="Times New Roman" w:eastAsia="Times New Roman" w:hAnsi="Times New Roman"/>
          <w:sz w:val="18"/>
          <w:szCs w:val="18"/>
          <w:color w:val="auto"/>
        </w:rPr>
        <w:t>. The Company has furnished or will deliver to the Underwriters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conformed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Underwriters, upon request, without charge, a signed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deliver to each Underwriter, without charge, as many copies of each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as such Underwriter may reasonably request, and the Company hereby consents to the use of such copies for purposes permitted by the 1933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1934 Act Regulations so as to permit the completion of the distribution of the Notes as contemplated in this Agreement and in the Registration Statement, the Disclosure Package and the Prospectus. If at any time during the Prospectus Delivery Period, any event or development shall occur or condition shall exist as a result of which it is necessary, in the opinion of counsel for the Underwriters or for the Company,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not misleading in the light of the circumstances existing at the Initial Sale Time or at the time it is delivered or conveyed to a purchaser, or if it shall be necessary, in the opinion of such counsel, at any such time to amend the Registration Statement or amend or supplement the Disclosure Package or the Prospectus in order to comply with the requirements of the 1933 Act or the 1933 Act Regulations, the Company will (1) notify the Representatives of any such event, development or condition and (2) promptly prepare and file with the Commission, subject to Section 3(a) and 3(f) hereof, such amendment or supplement as may be necessary to correct such statement or omission or to make the Registration Statement, the Disclosure Package or the Prospectus comply with such requirements, and the Company will furnish to the Underwriters, without charge, such number of copies of such amendment or supplement as the Underwriters may reasonably request.</w:t>
      </w:r>
    </w:p>
    <w:p>
      <w:pPr>
        <w:spacing w:after="0" w:line="185" w:lineRule="exact"/>
        <w:rPr>
          <w:rFonts w:ascii="Times New Roman" w:cs="Times New Roman" w:eastAsia="Times New Roman" w:hAnsi="Times New Roman"/>
          <w:sz w:val="18"/>
          <w:szCs w:val="18"/>
          <w:color w:val="auto"/>
        </w:rPr>
      </w:pPr>
    </w:p>
    <w:p>
      <w:pPr>
        <w:ind w:left="-20" w:right="40" w:firstLine="987"/>
        <w:spacing w:after="0" w:line="290" w:lineRule="auto"/>
        <w:tabs>
          <w:tab w:leader="none" w:pos="11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Final Term Sheet</w:t>
      </w:r>
      <w:r>
        <w:rPr>
          <w:rFonts w:ascii="Times New Roman" w:cs="Times New Roman" w:eastAsia="Times New Roman" w:hAnsi="Times New Roman"/>
          <w:sz w:val="17"/>
          <w:szCs w:val="17"/>
          <w:color w:val="auto"/>
        </w:rPr>
        <w:t>. The Company will prepare a final term sheet containing only a description of the Notes, in a form approved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and attached as Schedule B hereto, and will file such term sheet pursuant to Rule 433(d) under the 1933 Act within the time required by such rule (such term sheet, the “Final Term Sheet”). Any such Final Term Sheet is an Issuer Free Writing Prospectus for purposes of this Agreement.</w:t>
      </w:r>
    </w:p>
    <w:p>
      <w:pPr>
        <w:spacing w:after="0" w:line="155" w:lineRule="exact"/>
        <w:rPr>
          <w:rFonts w:ascii="Times New Roman" w:cs="Times New Roman" w:eastAsia="Times New Roman" w:hAnsi="Times New Roman"/>
          <w:sz w:val="17"/>
          <w:szCs w:val="17"/>
          <w:color w:val="auto"/>
        </w:rPr>
      </w:pPr>
    </w:p>
    <w:p>
      <w:pPr>
        <w:ind w:left="-20" w:right="120" w:firstLine="987"/>
        <w:spacing w:after="0" w:line="256"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Free Writing Prospectuses</w:t>
      </w:r>
      <w:r>
        <w:rPr>
          <w:rFonts w:ascii="Times New Roman" w:cs="Times New Roman" w:eastAsia="Times New Roman" w:hAnsi="Times New Roman"/>
          <w:sz w:val="18"/>
          <w:szCs w:val="18"/>
          <w:color w:val="auto"/>
        </w:rPr>
        <w:t>. The Company represents that it has not made, and agrees that, unless it obtains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Representatives, it will not make, any offer relating to the Notes that would constitute an Issuer Free Writing Prospectus or that would otherwise constitute a “free writing prospectus” (as defined in Rule 405 of the 1933 Act) required to be filed by the Company with the Commission or retained by the Company under Rule 433 of the 1933 Act; provided that the prior written consent of the Representatives shall be deemed to have been given in respect of any Issuer Free Writing Prospectuses included in Schedule B to this Agreement and any electronic roadshow. Any such free writing prospectus consented to or deemed to be consented to by the Representatives is hereinafter referred to as a “Permitted Free Writing Prospectus.” The Company agrees that (i) it has treated and will treat, as the case may be, each Permitted Free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68" w:right="45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Prospectus as an Issuer Free Writing Prospectus, and (ii) has complied and will comply, as the case may be, with the requirements of Rules 164 and 433 of the 1933 Act applicable to any Permitted Free Writing Prospectus, including in respect of timely filing with the Commission, legending and record keeping. The Company consents to the use by any Underwriter of a free writing prospectus that (a) is not an “issuer free writing prospectus” as defined in Rule 433, and (b) contains only (i) information describing the preliminary terms of the Notes or their offering, (ii) information permitted by Rule 134 under the 1933 Act, or (iii) information that describes the final terms of the Notes or their offering and that is included in the Final Term Sheet of the Company contemplated in Section 3(f); provided that each Underwriter severally covenants with the Company not to take any action without the Company’s consent that would result in the Company being required to file with the Commission pursuant to Rule 433(d) under the 1933 Act a free writing prospectus prepared by or on behalf of such Underwriter that otherwise would not be required to be filed by the Company thereunder, but for the action of the Underwriter.</w:t>
      </w:r>
    </w:p>
    <w:p>
      <w:pPr>
        <w:spacing w:after="0" w:line="186" w:lineRule="exact"/>
        <w:rPr>
          <w:sz w:val="20"/>
          <w:szCs w:val="20"/>
          <w:color w:val="auto"/>
        </w:rPr>
      </w:pPr>
    </w:p>
    <w:p>
      <w:pPr>
        <w:ind w:right="40" w:firstLine="987"/>
        <w:spacing w:after="0" w:line="255"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reasonable best efforts, in cooperation with the Underwriters and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to qualify or register the Notes for offering and sale under the applicable securities laws of such states and other jurisdictions (domestic or foreign) as the Representatives may designate and to maintain such qualifications in effect for as long as necessary to complete the distribution of the Notes, up to one year from the date of this Agreement; provided, however, that the Company shall not be obligated to file any general consent to service of process or to qualify as a foreign corporation or as a dealer in securities in any jurisdiction in which it is not already so subject or so qualified or to subject itself to taxation in respect of doing business in any jurisdiction in which it is not otherwise so subject. In each jurisdiction in which the Notes have been so qualified, the Company will file such statements and reports as may be required by the laws of such jurisdiction to continue such qualification in effect for so long as required for the sale of the Notes.</w:t>
      </w:r>
    </w:p>
    <w:p>
      <w:pPr>
        <w:spacing w:after="0" w:line="184" w:lineRule="exact"/>
        <w:rPr>
          <w:rFonts w:ascii="Times New Roman" w:cs="Times New Roman" w:eastAsia="Times New Roman" w:hAnsi="Times New Roman"/>
          <w:sz w:val="18"/>
          <w:szCs w:val="18"/>
          <w:color w:val="auto"/>
        </w:rPr>
      </w:pPr>
    </w:p>
    <w:p>
      <w:pPr>
        <w:ind w:right="260" w:firstLine="987"/>
        <w:spacing w:after="0" w:line="267"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Statement</w:t>
      </w:r>
      <w:r>
        <w:rPr>
          <w:rFonts w:ascii="Times New Roman" w:cs="Times New Roman" w:eastAsia="Times New Roman" w:hAnsi="Times New Roman"/>
          <w:sz w:val="18"/>
          <w:szCs w:val="18"/>
          <w:color w:val="auto"/>
        </w:rPr>
        <w:t>. The Company will timely file such reports pursuant to the 1934 Act as are necessary in order to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as soon as practicable an earnings statement for the purposes of, and to provide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firstLine="987"/>
        <w:spacing w:after="0" w:line="284"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Notes in the manner specified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w:t>
      </w:r>
    </w:p>
    <w:p>
      <w:pPr>
        <w:spacing w:after="0" w:line="158" w:lineRule="exact"/>
        <w:rPr>
          <w:rFonts w:ascii="Times New Roman" w:cs="Times New Roman" w:eastAsia="Times New Roman" w:hAnsi="Times New Roman"/>
          <w:sz w:val="18"/>
          <w:szCs w:val="18"/>
          <w:color w:val="auto"/>
        </w:rPr>
      </w:pPr>
    </w:p>
    <w:p>
      <w:pPr>
        <w:ind w:right="20" w:firstLine="987"/>
        <w:spacing w:after="0" w:line="284"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The Company will cooperate with the Underwriters and use its reasonable best efforts to permit the Notes to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 and settlement through the facilities of the Depositary.</w:t>
      </w:r>
    </w:p>
    <w:p>
      <w:pPr>
        <w:spacing w:after="0" w:line="158"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 Not to Offer or Sell Additional Securities</w:t>
      </w:r>
      <w:r>
        <w:rPr>
          <w:rFonts w:ascii="Times New Roman" w:cs="Times New Roman" w:eastAsia="Times New Roman" w:hAnsi="Times New Roman"/>
          <w:sz w:val="18"/>
          <w:szCs w:val="18"/>
          <w:color w:val="auto"/>
        </w:rPr>
        <w:t>. During the period commencing on the date hereof and ending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the Company will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16a-1(h) under the 1934 Act, or otherwise dispose of or transfer, or announce the offering of, or file any registration statement under the 1933 Act in respect of, any debt securities of the Company similar to the Notes or securities exchangeable for or convertible into debt securities of the Company similar to the Notes (other than as contemplated by this Agreement with respect to the Notes) and having a tenor of more than one year.</w:t>
      </w:r>
    </w:p>
    <w:p>
      <w:pPr>
        <w:spacing w:after="0" w:line="182" w:lineRule="exact"/>
        <w:rPr>
          <w:rFonts w:ascii="Times New Roman" w:cs="Times New Roman" w:eastAsia="Times New Roman" w:hAnsi="Times New Roman"/>
          <w:sz w:val="18"/>
          <w:szCs w:val="18"/>
          <w:color w:val="auto"/>
        </w:rPr>
      </w:pPr>
    </w:p>
    <w:p>
      <w:pPr>
        <w:ind w:right="420" w:firstLine="987"/>
        <w:spacing w:after="0" w:line="315" w:lineRule="auto"/>
        <w:tabs>
          <w:tab w:leader="none" w:pos="12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Reporting Requirements</w:t>
      </w:r>
      <w:r>
        <w:rPr>
          <w:rFonts w:ascii="Times New Roman" w:cs="Times New Roman" w:eastAsia="Times New Roman" w:hAnsi="Times New Roman"/>
          <w:sz w:val="17"/>
          <w:szCs w:val="17"/>
          <w:color w:val="auto"/>
        </w:rPr>
        <w:t>. During the Prospectus Delivery Period, the Company shall file, on a timely basis, with the Commission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reports and all documents required to be filed under the 1934 Act within the time period required by the 1934 Act and the 1934 Act Regulations.</w:t>
      </w:r>
    </w:p>
    <w:p>
      <w:pPr>
        <w:spacing w:after="0" w:line="13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Representatives may, in their sole discretion, waive in writing the performance by the Company of any one or more of the foregoing covenants or grant the Company additional time in which to perform such covenants.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Covenants of the Underwriters</w:t>
      </w:r>
      <w:r>
        <w:rPr>
          <w:rFonts w:ascii="Times New Roman" w:cs="Times New Roman" w:eastAsia="Times New Roman" w:hAnsi="Times New Roman"/>
          <w:sz w:val="18"/>
          <w:szCs w:val="18"/>
          <w:color w:val="auto"/>
        </w:rPr>
        <w:t>. Each Underwriter represents, warrants and covenants with the Company as follows:</w:t>
      </w:r>
    </w:p>
    <w:p>
      <w:pPr>
        <w:spacing w:after="0" w:line="117" w:lineRule="exact"/>
        <w:rPr>
          <w:sz w:val="20"/>
          <w:szCs w:val="20"/>
          <w:color w:val="auto"/>
        </w:rPr>
      </w:pPr>
    </w:p>
    <w:p>
      <w:pPr>
        <w:ind w:left="4" w:right="40" w:firstLine="987"/>
        <w:spacing w:after="0" w:line="255"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1933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set forth on Schedule B hereto or prepared pursuant to Section 3(e), Section 3(f) or Section 3(g) above, or (iii) any free writing prospectus prepared by such Underwriter and approved by the Company in advance in writing (each such free writing prospectus referred to in clauses (i) or (iii), an “Underwriter Free Writing Prospectus”)</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Notes unless such terms have previously been included in a free writing prospectus (i) filed with the Commission or (ii) that is a final pricing term sheet in the form of Schedule B hereto prepared by such Underwriter and approved verbally or in written form (including by electronic means) by the Company in advance (which approval the Company agrees to provide as soon as practically possible); provided further that any Underwriter using such term sheet shall notify the Company, and provide a copy of such term sheet to the Company, prior to, or substantially concurrently with, the first use of such term sheet</w:t>
      </w:r>
      <w:r>
        <w:rPr>
          <w:rFonts w:ascii="Times New Roman" w:cs="Times New Roman" w:eastAsia="Times New Roman" w:hAnsi="Times New Roman"/>
          <w:sz w:val="18"/>
          <w:szCs w:val="18"/>
          <w:i w:val="1"/>
          <w:iCs w:val="1"/>
          <w:color w:val="auto"/>
        </w:rPr>
        <w:t>.</w:t>
      </w:r>
    </w:p>
    <w:p>
      <w:pPr>
        <w:spacing w:after="0" w:line="187"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pursuant to reasonable procedures developed in good faith, retain copies of each free writing prospectus used or referred to by it, in accordance with Rule 433 under the 1933 Act.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987"/>
        <w:spacing w:after="0" w:line="269"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The Company will pay all expenses incident to the performance of its obligations under this Agreement and in connection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transactions contemplated hereby, including, without limitation, (i) the preparation, printing and filing of the Registration Statement (including financial statements and exhibits) as originally filed and of each amendment thereto, (ii) the preparation, printing and delivery to the Underwriters of this Agreement, any agreement among Underwriters, the Indenture and such other documents as may be required in connection with the offering, purchase, sale, issuance or delivery of the Notes, (iii) the preparation, issuance and delivery of the Notes, any certificates for the Notes, as applicable, to the Underwriters, including any transfer taxes and any stamp or other duties payable upon the sale, issuance or delivery of the Notes to the Underwriters,</w:t>
      </w:r>
    </w:p>
    <w:p>
      <w:pPr>
        <w:spacing w:after="0" w:line="1" w:lineRule="exact"/>
        <w:rPr>
          <w:rFonts w:ascii="Times New Roman" w:cs="Times New Roman" w:eastAsia="Times New Roman" w:hAnsi="Times New Roman"/>
          <w:sz w:val="17"/>
          <w:szCs w:val="17"/>
          <w:color w:val="auto"/>
        </w:rPr>
      </w:pPr>
    </w:p>
    <w:p>
      <w:pPr>
        <w:ind w:left="4" w:right="80" w:hanging="4"/>
        <w:spacing w:after="0" w:line="251" w:lineRule="auto"/>
        <w:tabs>
          <w:tab w:leader="none" w:pos="3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disbursements of the Company’s counsel, accountants and other advisors or agents (including transfer agents and registrars), as well as the fees and disbursements of the Trustee and its counsel, (v) the qualification of the Notes under state securities laws in accordance with the provisions of Section 3(h) hereof, including filing fees and the reasonable fees and disbursements of counsel for the Underwriters in connection therewith and in connection with the preparation, printing and delivery of the Blue Sky and Legal Investment Survey, and any amendment thereto, (vi) the printing and delivery to the Underwriters of copies of each Issuer Free Writing Prospectus, each preliminary prospectus and the Prospectus and any amendments or supplements thereto, (vii) the fees charged by nationally recognized statistical rating organizations for the rating of the Notes, (viii) the fees and expenses incurred with respect to the listing of the Notes, if applicable, (ix) the filing fees incident to, and the reasonable fees and disbursements of counsel to the Underwriters in connection with, the review, if any, by FINRA of the terms of the sale of the Notes, and (x) the fees and expenses of any Underwriter acting in the capacity of a “qualified independent underwriter” (as defined in FINRA Rule 5121(f)(12)), if applicable.</w:t>
      </w:r>
    </w:p>
    <w:p>
      <w:pPr>
        <w:spacing w:after="0" w:line="191" w:lineRule="exact"/>
        <w:rPr>
          <w:rFonts w:ascii="Times New Roman" w:cs="Times New Roman" w:eastAsia="Times New Roman" w:hAnsi="Times New Roman"/>
          <w:sz w:val="18"/>
          <w:szCs w:val="18"/>
          <w:color w:val="auto"/>
        </w:rPr>
      </w:pPr>
    </w:p>
    <w:p>
      <w:pPr>
        <w:ind w:left="4" w:right="200" w:firstLine="987"/>
        <w:spacing w:after="0" w:line="267"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6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 hereof, the Company shall reimburse the Underwriters for all of their reasonable out-of-pocket expenses incurred in connection with Notes Offering pursuant to this Agreement, including the reasonable fees and disbursements of counsel for the Underwriters.</w:t>
      </w:r>
    </w:p>
    <w:p>
      <w:pPr>
        <w:spacing w:after="0" w:line="175"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to purchase and pay for the Notes as provided in this Agreement are subject to the accuracy of the representations and warranties of the Company contained in Section 1 hereof and as of each Representation Date, to the accuracy of the statements made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0" w:name="page21"/>
    <w:bookmarkEnd w:id="20"/>
    <w:p>
      <w:pPr>
        <w:ind w:firstLine="987"/>
        <w:spacing w:after="0" w:line="255"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Registration Statement</w:t>
      </w:r>
      <w:r>
        <w:rPr>
          <w:rFonts w:ascii="Times New Roman" w:cs="Times New Roman" w:eastAsia="Times New Roman" w:hAnsi="Times New Roman"/>
          <w:sz w:val="18"/>
          <w:szCs w:val="18"/>
          <w:color w:val="auto"/>
        </w:rPr>
        <w:t>. The Registration Statement, including any Rule 462(b) Registration Statement, has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under the 1933 Act and no stop order suspending the effectiveness of the Registration Statement shall have been issued under the 1933 Act and no proceedings for that purpose shall have been instituted or shall be pending or threatened by the Commission, and any request on the part of the Commission for additional information shall have been complied with to the reasonable satisfaction of counsel to the Underwriters and the Company shall not have received from the Commission any notice pursuant to Rule 401(g)(2) of the 1933 Act or otherwise objecting to the use of the automatic shelf registration statement form. A Prospectus containing information relating to the description of the Notes and the specific method of distribution and similar matters shall have been filed with the Commission in accordance with Rule 424(b)(1), (2), (3), (4) or (5), as applicable (or any required post-effective amendment providing such information shall have been filed and declared effective in accordance with the requirements of Rule 430A).</w:t>
      </w:r>
    </w:p>
    <w:p>
      <w:pPr>
        <w:spacing w:after="0" w:line="184"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General Counsel for Company</w:t>
      </w:r>
      <w:r>
        <w:rPr>
          <w:rFonts w:ascii="Times New Roman" w:cs="Times New Roman" w:eastAsia="Times New Roman" w:hAnsi="Times New Roman"/>
          <w:sz w:val="18"/>
          <w:szCs w:val="18"/>
          <w:color w:val="auto"/>
        </w:rPr>
        <w:t>. On the Closing Date, the Representatives shall have received the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dated as of the Closing Date, of Jeffery D. Schwartz, Vice President, General Counsel and Secretary of the Company, in form and substance satisfactory to counsel for the Underwriters, together with signed or reproduced copies of such letter for each of the other Underwriters, to the effect set forth in Exhibit A hereto and to such further effect as the Representatives or counsel to the Underwriters may reasonably request.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On the Closing Date, the Representatives shall have received the opinion and negative assurance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as of the Closing Date, of Wilmer Cutler Pickering Hale and Dorr LLP, counsel for the Company, in form and substance satisfactory to counsel for the Underwriters, together with signed or reproduced copies of such letter for each of the other Underwriters, to the effect set forth in Exhibit B hereto and to such further effect as counsel to the Underwriters may reasonably request.</w:t>
      </w:r>
    </w:p>
    <w:p>
      <w:pPr>
        <w:spacing w:after="0" w:line="179" w:lineRule="exact"/>
        <w:rPr>
          <w:rFonts w:ascii="Times New Roman" w:cs="Times New Roman" w:eastAsia="Times New Roman" w:hAnsi="Times New Roman"/>
          <w:sz w:val="18"/>
          <w:szCs w:val="18"/>
          <w:color w:val="auto"/>
        </w:rPr>
      </w:pPr>
    </w:p>
    <w:p>
      <w:pPr>
        <w:ind w:right="80" w:firstLine="987"/>
        <w:spacing w:after="0" w:line="267"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On the Closing Date, the Representatives shall have received an opinion and negative assurance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as of the Closing Date, of Weil, Gotshal &amp; Manges LLP, counsel for the Underwriters, together with signed or reproduced copies of such letter for each of the other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For the period from and after the date of this Agreement and prior to the Closing Date, or since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dates as of which information is given in the Disclosure Package or the Prospectus, there shall not have been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President or a Vice President of the Company and of the Chief Financial Officer or Chief Accounting Officer of the Company, dated as of the Closing Date, to the effect that (i) there has been no such material adverse change, (ii) the representations and warranties in Section 1(a) are true and correct with the same force and effect as though expressly made at and as of the Closing Date, (iii) the Company has complied with all agreements and satisfied all conditions on its part to be performed or satisfied at or prior to the Closing Date, and (iv) no stop order suspending the effectiveness of the Registration Statement has been issued and no proceedings for that purpose have been instituted, are pending or, to the best of such officer’s knowledge, are threatened by the Commission.</w:t>
      </w:r>
    </w:p>
    <w:p>
      <w:pPr>
        <w:spacing w:after="0" w:line="185"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Accountants Comfort Letter</w:t>
      </w:r>
      <w:r>
        <w:rPr>
          <w:rFonts w:ascii="Times New Roman" w:cs="Times New Roman" w:eastAsia="Times New Roman" w:hAnsi="Times New Roman"/>
          <w:sz w:val="18"/>
          <w:szCs w:val="18"/>
          <w:color w:val="auto"/>
        </w:rPr>
        <w:t>. On the date hereof: the Representatives shall have received from Ernst &amp; Young LLP, a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date hereof, addressed to the Underwriters and the Company,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audited and unaudited financial statements and certain financial information contained in the Registration Statement and the Prospectus.</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Bring-down Comfort Letter</w:t>
      </w:r>
      <w:r>
        <w:rPr>
          <w:rFonts w:ascii="Times New Roman" w:cs="Times New Roman" w:eastAsia="Times New Roman" w:hAnsi="Times New Roman"/>
          <w:sz w:val="18"/>
          <w:szCs w:val="18"/>
          <w:color w:val="auto"/>
        </w:rPr>
        <w:t>. On the Closing Date, the Representatives shall have received from Ernst &amp; Young LLP, a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such date, in form and substance satisfactory to the Representatives, to the effect that they reaffirm the statements made in the letter furnished pursuant to subsection (f) of this Section 6, except that the specified date referred to shall be a date not more than three business days prior to the Closing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21" w:name="page22"/>
    <w:bookmarkEnd w:id="21"/>
    <w:p>
      <w:pPr>
        <w:ind w:right="100" w:firstLine="987"/>
        <w:spacing w:after="0" w:line="25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Ratings</w:t>
      </w:r>
      <w:r>
        <w:rPr>
          <w:rFonts w:ascii="Times New Roman" w:cs="Times New Roman" w:eastAsia="Times New Roman" w:hAnsi="Times New Roman"/>
          <w:sz w:val="18"/>
          <w:szCs w:val="18"/>
          <w:color w:val="auto"/>
        </w:rPr>
        <w:t>. For the period from and after the date of this Agreement and prior to the Closing Date, the Notes shall have the ratings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accorded by any “nationally recognized statistical rating organization,” as defined by the Commission for purposes of Section 3(a)(62) under the 1934 Act, and the Company shall have delivered to the Representatives a letter, dated as of the Closing Date, from each such rating organization, or other evidence satisfactory to the Representatives, confirming that the Notes have such ratings. For the period from and after the date of this Agreement and prior to the Closing Date, there shall not have occurred a downgrading in, or withdrawal of the rating assigned to the Notes or any of the Company’s other securities by any such rating organization, and no such rating organization shall have publicly announced that it has under surveillance or review its rating of the Notes or any of the Company’s other securities.</w:t>
      </w:r>
    </w:p>
    <w:p>
      <w:pPr>
        <w:spacing w:after="0" w:line="182"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or before the Closing Date, the Representatives and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Notes as herein contemplated, or in order to evidence the accuracy of any of the representations or warranties, or the fulfillment of any of the conditions, herein contained; and all proceedings taken by the Company in connection with the issuance and sale of the Notes as herein contemplated shall be satisfactory in form and substance to the Representatives and counsel for the Underwriters.</w:t>
      </w:r>
    </w:p>
    <w:p>
      <w:pPr>
        <w:spacing w:after="0" w:line="183" w:lineRule="exact"/>
        <w:rPr>
          <w:rFonts w:ascii="Times New Roman" w:cs="Times New Roman" w:eastAsia="Times New Roman" w:hAnsi="Times New Roman"/>
          <w:sz w:val="18"/>
          <w:szCs w:val="18"/>
          <w:color w:val="auto"/>
        </w:rPr>
      </w:pPr>
    </w:p>
    <w:p>
      <w:pPr>
        <w:ind w:right="80" w:firstLine="987"/>
        <w:spacing w:after="0" w:line="261" w:lineRule="auto"/>
        <w:tabs>
          <w:tab w:leader="none" w:pos="12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this Agreement</w:t>
      </w:r>
      <w:r>
        <w:rPr>
          <w:rFonts w:ascii="Times New Roman" w:cs="Times New Roman" w:eastAsia="Times New Roman" w:hAnsi="Times New Roman"/>
          <w:sz w:val="18"/>
          <w:szCs w:val="18"/>
          <w:color w:val="auto"/>
        </w:rPr>
        <w:t>. If any condition specified in this Section 6 shall not have been fulfilled when and as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fulfilled, this Agreement may be terminated by the Representatives by notice to the Company at any time at or prior to the Closing Date and such termination shall be without liability of any party to any other party except as provided in Section 5 and except that Sections 1, 7, 8 and 9 shall survive any such termination and remain in full force and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987"/>
        <w:spacing w:after="0" w:line="267"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the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of each Underwriter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losses, liabilities, claims, damages and expenses whatsoever, as incurred, arising out of any untrue statement or alleged untrue statement of a material fact contained in the Registration Statement (or any amendment thereto), including the Rule 430B Information deemed to be a part thereof, if applicable, or the omission or alleged omission therefrom of a material fact required to be stated therein or necessary to make the statements therein not misleading or arising out of any untrue statement or alleged untrue statement of a material fact included in any Issuer Free Writing Prospectus, any preliminary prospectus, the Pricing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losses, liabilities, claims, damages and expenses whatsoever, as incurred, to the extent of the aggregate amount paid in settlement of any litigation, or any investigation or proceeding by any governmental agency or body, commenced or threatened, or any claim whatsoever based upon any such untrue statement or omission, or any such alleged untrue statement or omission; provided that (subject to Section 7(d) below) any such settlement is effected with the written consent of the Company; and</w:t>
      </w:r>
    </w:p>
    <w:p>
      <w:pPr>
        <w:spacing w:after="0" w:line="179" w:lineRule="exact"/>
        <w:rPr>
          <w:rFonts w:ascii="Times New Roman" w:cs="Times New Roman" w:eastAsia="Times New Roman" w:hAnsi="Times New Roman"/>
          <w:sz w:val="18"/>
          <w:szCs w:val="18"/>
          <w:color w:val="auto"/>
        </w:rPr>
      </w:pPr>
    </w:p>
    <w:p>
      <w:pPr>
        <w:jc w:val="both"/>
        <w:ind w:right="400" w:firstLine="1428"/>
        <w:spacing w:after="0" w:line="261" w:lineRule="auto"/>
        <w:tabs>
          <w:tab w:leader="none" w:pos="16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expenses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(1) or (2) above;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(it being understood and agreed that the only such information furnished by any Underwriter consists of the information described as such in Section 7(b) hereof) expressly for use in the Registration Statement (or any amendment thereto), including the Rule 430B Information deemed to be a part thereof, if applicable, any Issuer Free Writing Prospectus, any preliminary prospectus, the Pricing Prospectus or the Prospectus (or any amendment or supplement thereto).</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68" w:right="539" w:bottom="1440" w:gutter="0" w:footer="0" w:header="0"/>
        </w:sectPr>
      </w:pPr>
    </w:p>
    <w:bookmarkStart w:id="22" w:name="page23"/>
    <w:bookmarkEnd w:id="22"/>
    <w:p>
      <w:pPr>
        <w:ind w:right="40" w:firstLine="987"/>
        <w:spacing w:after="0" w:line="253"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the Company, Directors and Officers</w:t>
      </w:r>
      <w:r>
        <w:rPr>
          <w:rFonts w:ascii="Times New Roman" w:cs="Times New Roman" w:eastAsia="Times New Roman" w:hAnsi="Times New Roman"/>
          <w:sz w:val="18"/>
          <w:szCs w:val="18"/>
          <w:color w:val="auto"/>
        </w:rPr>
        <w:t>. Each Underwriter severally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its directors, each of its officers who signed the Registration Statement, and each person, if any, who controls the Company within the meaning of Section 15 of the 1933 Act or Section 20 of the 1934 Act against any and all losses, liabilities, claims, damages and expenses described in the indemnity contained in subsection (a) of this Section, as incurred, but only with respect to untrue statements or omissions, or alleged untrue statements or omissions, made in the Registration Statement (or any amendment thereto), including the Rule 430B Information deemed to be a part thereof, if applicable, or any Issuer Free Writing Prospectus, any preliminary prospectus or the Prospectus (or any amendment or supplement thereto) in reliance upon and in conformity with written information furnished to the Company by such Underwriter expressly for use in the Registration Statement (or any amendment thereto), or any Issuer Free Writing Prospectus, any preliminary prospectus or the Prospectus (or any amendment or supplement thereto). The Company hereby acknowledges that the only information that the Underwriters have furnished to the Company expressly for use in the Registration Statement, any preliminary prospectus or the Prospectus (or any amendment or supplement thereto) are the statements set forth in the fifth, eighth, and ninth paragraphs under the caption “Underwriting” in the Pricing Prospectus. The indemnity agreement set forth in this Section 7(b) shall be in addition to any liabilities that each Underwriter may otherwise have.</w:t>
      </w:r>
    </w:p>
    <w:p>
      <w:pPr>
        <w:spacing w:after="0" w:line="189"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above, counsel to the indemnified parties shall be selected by the Representatives, and, in the case of parties indemnified pursuant to Section 7(b)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7(a)(2)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Notes Offering pursuant to this Agreement or (ii) if the allocation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by clause (i) is not permitted by applicable law, in such proportion as is appropriate to reflect not only the relative benefits referred to in clause</w:t>
      </w:r>
    </w:p>
    <w:p>
      <w:pPr>
        <w:spacing w:after="0" w:line="27" w:lineRule="exact"/>
        <w:rPr>
          <w:sz w:val="20"/>
          <w:szCs w:val="20"/>
          <w:color w:val="auto"/>
        </w:rPr>
      </w:pPr>
    </w:p>
    <w:p>
      <w:pPr>
        <w:ind w:left="4" w:right="460" w:hanging="4"/>
        <w:spacing w:after="0" w:line="260"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on the one hand, and the Underwriters, on the other hand, in connection with the statements or omissions which resulted in such losses, liabilities, claims, damages or expenses, as well as any other relevant equitable considerations.</w:t>
      </w:r>
    </w:p>
    <w:p>
      <w:pPr>
        <w:spacing w:after="0" w:line="181"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Notes Offering pursuant to this Agreement shall be deemed to be in the same respective proportions as the total net proceeds from the Notes Offering (before deducting expenses) received by the Company and the total underwriting discount received by the Underwriters, in each case as set forth on the cover of the Prospectus, bear to the aggregate initial public offering price of such Notes as set forth on such cover.</w:t>
      </w:r>
    </w:p>
    <w:p>
      <w:pPr>
        <w:spacing w:after="0" w:line="180"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left="4" w:right="20" w:firstLine="991"/>
        <w:spacing w:after="0" w:line="274" w:lineRule="auto"/>
        <w:rPr>
          <w:sz w:val="20"/>
          <w:szCs w:val="20"/>
          <w:color w:val="auto"/>
        </w:rPr>
      </w:pPr>
      <w:r>
        <w:rPr>
          <w:rFonts w:ascii="Times New Roman" w:cs="Times New Roman" w:eastAsia="Times New Roman" w:hAnsi="Times New Roman"/>
          <w:sz w:val="17"/>
          <w:szCs w:val="17"/>
          <w:color w:val="auto"/>
        </w:rPr>
        <w:t>The Company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3" w:lineRule="exact"/>
        <w:rPr>
          <w:sz w:val="20"/>
          <w:szCs w:val="20"/>
          <w:color w:val="auto"/>
        </w:rPr>
      </w:pPr>
    </w:p>
    <w:p>
      <w:pPr>
        <w:jc w:val="both"/>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this Section 8, no Underwriter shall be required to contribute any amount in excess of the amount by which the total price at which the Notes underwritten by it and distributed to the public were offered to the public exceeds the amount of any damages which such Underwriter has otherwise been required to pay by reason of any such untrue statement or alleged untrue statement or omission or alleged omission in the Registration Statement or the Prospectus.</w:t>
      </w:r>
    </w:p>
    <w:p>
      <w:pPr>
        <w:spacing w:after="0" w:line="180"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For purposes of this Section 8, each director, officer and affiliate of an Underwriter and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8 are several, and not joint, in proportion to their respective underwriting commitments as set forth opposite their names in Schedule A.</w:t>
      </w:r>
    </w:p>
    <w:p>
      <w:pPr>
        <w:spacing w:after="0" w:line="187" w:lineRule="exact"/>
        <w:rPr>
          <w:sz w:val="20"/>
          <w:szCs w:val="20"/>
          <w:color w:val="auto"/>
        </w:rPr>
      </w:pPr>
    </w:p>
    <w:p>
      <w:pPr>
        <w:jc w:val="both"/>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or thereto shall remain operative and in full force and effect, regardless of any investigation made by or on behalf of any Underwriter or controlling person, or by or on behalf of the Company, and shall survive delivery of and payment for the Notes.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987"/>
        <w:spacing w:after="0" w:line="267"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this Agreement by the Representatives</w:t>
      </w:r>
      <w:r>
        <w:rPr>
          <w:rFonts w:ascii="Times New Roman" w:cs="Times New Roman" w:eastAsia="Times New Roman" w:hAnsi="Times New Roman"/>
          <w:sz w:val="18"/>
          <w:szCs w:val="18"/>
          <w:color w:val="auto"/>
        </w:rPr>
        <w:t>. The Representatives may terminate this Agreement, by notice to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at or prior to the Closing Date, if (i) there has been, since the date hereof or since the respective dates as of which information is given in the Prospectus, any material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 change in the condition, financial or otherwise, or in the earnings, business affairs or business prospects of the Company and its subsidiaries considered as one enterprise, whether or not arising in the ordinary course of business, or (ii) there has occurred any material adverse change in the financial markets in the United States or, in the international financial markets, or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to market the Notes or to enforce contracts for the sale of the Notes, or (iii) trading in any securities of the Company has been suspended or materially limited by the Commission or the New York Stock Exchange, or if trading generally on the New York Stock Exchange, the NYSE MKT LLC, the Nasdaq Global Select Market or the Nasdaq Global Market has been suspended or materially limited, or minimum or maximum prices for trading have been fixed, or maximum ranges for prices have been required, by either of said exchanges or by such system or by order of the Commission, FINRA or any other governmental authority, or (iv) a banking moratorium has been declared by either Federal or New York authorities, or (v) there has occurred a material disruption in securities settlement or clearance systems.</w:t>
      </w:r>
    </w:p>
    <w:p>
      <w:pPr>
        <w:spacing w:after="0" w:line="190" w:lineRule="exact"/>
        <w:rPr>
          <w:sz w:val="20"/>
          <w:szCs w:val="20"/>
          <w:color w:val="auto"/>
        </w:rPr>
      </w:pPr>
    </w:p>
    <w:p>
      <w:pPr>
        <w:ind w:firstLine="987"/>
        <w:spacing w:after="0" w:line="267"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10, such termination shall be without liability of any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party except as provided in Section 5 hereof, and provided further that Sections 1, 7, 8 and 9 shall survive such termination and remain in full force and effect.</w:t>
      </w:r>
    </w:p>
    <w:p>
      <w:pPr>
        <w:spacing w:after="0" w:line="17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Default by One of the Several Underwriters</w:t>
      </w:r>
      <w:r>
        <w:rPr>
          <w:rFonts w:ascii="Times New Roman" w:cs="Times New Roman" w:eastAsia="Times New Roman" w:hAnsi="Times New Roman"/>
          <w:sz w:val="18"/>
          <w:szCs w:val="18"/>
          <w:color w:val="auto"/>
        </w:rPr>
        <w:t>. If, on the Closing Date, any one of the several Underwriters shall fail to purchase the Notes that it has agreed to purchase hereunder on such date (the “Defaulted Notes”), then the Representatives shall have the right, within 24 hours thereafter, to make arrangements to, or for any other underwriters to, purchase all, but not less than all, of the Defaulted Notes in such amounts as may be agreed upon and upon the terms herein set forth; if, however, the non-defaulting Underwriters shall not have completed such arrangements within such 24-hour period, then:</w:t>
      </w:r>
    </w:p>
    <w:p>
      <w:pPr>
        <w:spacing w:after="0" w:line="183" w:lineRule="exact"/>
        <w:rPr>
          <w:sz w:val="20"/>
          <w:szCs w:val="20"/>
          <w:color w:val="auto"/>
        </w:rPr>
      </w:pPr>
    </w:p>
    <w:p>
      <w:pPr>
        <w:jc w:val="both"/>
        <w:ind w:right="140" w:firstLine="987"/>
        <w:spacing w:after="0" w:line="266"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or aggregate principal amount, as the case may be, of Defaulted Notes does not exceed 10% of the number or aggregate principal amount, as the case may be, of Notes to be purchased on such date, the Representatives shall be obligated to purchase the full amount thereof which such defaulting Underwriter agreed but failed or refused to purchase on such date, or</w:t>
      </w:r>
    </w:p>
    <w:p>
      <w:pPr>
        <w:spacing w:after="0" w:line="175" w:lineRule="exact"/>
        <w:rPr>
          <w:rFonts w:ascii="Times New Roman" w:cs="Times New Roman" w:eastAsia="Times New Roman" w:hAnsi="Times New Roman"/>
          <w:sz w:val="18"/>
          <w:szCs w:val="18"/>
          <w:color w:val="auto"/>
        </w:rPr>
      </w:pPr>
    </w:p>
    <w:p>
      <w:pPr>
        <w:ind w:right="20" w:firstLine="987"/>
        <w:spacing w:after="0" w:line="274" w:lineRule="auto"/>
        <w:tabs>
          <w:tab w:leader="none" w:pos="124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or aggregate principal amount, as the case may be, of Defaulted Notes exceeds 10% of the number or aggregate principal amount, as the case may be, of Notes to be purchased on such date and arrangements satisfactory to the Representatives and the Company for the purchase of such Notes are not made within 48 hours after such default, this Agreement shall terminate without liability of any party to any other party except that the provisions of Section 5, Section 7 and Section 8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the Disclosure Package, the Prospectus or any other documents or arrangements may be effected.</w:t>
      </w:r>
    </w:p>
    <w:p>
      <w:pPr>
        <w:spacing w:after="0" w:line="17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As used in this Agreement, the term “Underwriter” shall be deemed to include any person substituted for a defaulting Underwriter under this Section 11. No action taken pursuant to this Section 11 shall relieve any defaulting Underwriter from liability in respect of its default.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The Company acknowledges and agrees that: (i) the purchase and sale of the Notes pursuant to this Agreement, including the determination of the offering price of the Notes and any related discounts and commissions, is an arm’s-length commercial transaction between the Company, on the one hand, and the several Underwriters on the other hand, and the Company is capable of evaluating and understanding and understands and accepts the terms, risks and conditions of the transactions contemplated by this Agreement; (ii) in connection with each transaction contemplated hereby and the process leading to such transaction each Underwriter is and has been acting solely as a principal and is not the financial advisor, agent or fiduciary of the Company, or its affiliates, shareholders or employees; (iii) no Underwriter has assumed or will assume an advisory, agency or fiduciary responsibility in favor of the Company with respect to any of the transactions contemplated hereby or the process leading thereto (irrespective of whether such Underwriter has advised or is currently advising the Company on other matters) and no Underwriter has any obligation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5" w:name="page26"/>
    <w:bookmarkEnd w:id="25"/>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with respect to the Notes Offering except the obligations expressly set forth in this Agreement; (iv) the several Underwriters and their respective affiliates may be engaged in a broad range of transactions that involve interests that differ from those of the Company and that the several Underwriters have no obligation to disclose any of such interests by virtue of any advisory, agency or fiduciary relationship; and (v) the Underwriters have not provided any legal, accounting, regulatory or tax advice with respect to the Notes Offering contemplated hereby and the Company has consulted its own legal, accounting, regulatory and tax advisors to the extent it deemed appropriate.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several Underwriters, or any of them, with respect to the subject matter hereof. The Company hereby waives and releases, to the fullest extent permitted by law, any claims that the Company may have against the several Underwriters with respect to any breach or alleged breach of agency or fiduciary duty.</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shall be directed to the parties hereto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Underwriters: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West 47th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NY8-114-07-01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High Grade Debt Capital Markets Transaction Management/Legal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(404) 926-5027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Investment Grade Debt Capital Markets Transaction Management/Legal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tmgcapitalmarkets@wellsfargo.com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Transaction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310-8007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Merritt S. Johnson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Schilling Road, Suite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 Valley, Maryland 21031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Pennsylvania Avenue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(202) 663-6363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 Alex Bahn</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parties hereto, including any substitute Underwriters pursuant to Section 11 hereof. Nothing expressed or mentioned in this Agreement is intended or shall be construed to give any person, firm or corporation, other than the Underwriters and the Company and their respective successors and the controlling persons and officers and directors referred to in Sections 7 and 8 and their heirs and legal representatives, any legal or equitable right, remedy or claim under or in respect of this Agreement or any provision herein contained. This Agreement and all conditions and provisions hereof is intended to be for the sole and exclusive benefit of the parties hereto and their respective successors, and said controlling persons and officers and directors and their heirs and legal representatives, and for the benefit of no other person, firm or corporation. No purchaser of Notes from any Underwriter shall be deemed to be a successor by reason merely of such purchase.</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 and Time</w:t>
      </w:r>
      <w:r>
        <w:rPr>
          <w:rFonts w:ascii="Times New Roman" w:cs="Times New Roman" w:eastAsia="Times New Roman" w:hAnsi="Times New Roman"/>
          <w:sz w:val="18"/>
          <w:szCs w:val="18"/>
          <w:color w:val="auto"/>
        </w:rPr>
        <w:t>. THIS AGREEMENT SHALL BE GOVERNED BY AND CONSTRUED IN ACCORDANCE WITH THE LAWS OF THE STATE OF NEW YORK SPECIFIED TIMES OF DAY REFER TO NEW YORK CITY TIME.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 counterparts hereof shall constitute a single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in or under this Agreement, were governed by the laws of the United States or a state of the United States.</w:t>
      </w:r>
    </w:p>
    <w:p>
      <w:pPr>
        <w:spacing w:after="0" w:line="183" w:lineRule="exact"/>
        <w:rPr>
          <w:sz w:val="20"/>
          <w:szCs w:val="20"/>
          <w:color w:val="auto"/>
        </w:rPr>
      </w:pPr>
    </w:p>
    <w:p>
      <w:pPr>
        <w:ind w:right="60" w:firstLine="987"/>
        <w:spacing w:after="0" w:line="261"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18:</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99" w:lineRule="exact"/>
        <w:rPr>
          <w:sz w:val="20"/>
          <w:szCs w:val="20"/>
          <w:color w:val="auto"/>
        </w:rPr>
      </w:pPr>
    </w:p>
    <w:p>
      <w:pPr>
        <w:ind w:left="5420" w:right="2380" w:hanging="4433"/>
        <w:spacing w:after="0" w:line="454" w:lineRule="auto"/>
        <w:tabs>
          <w:tab w:leader="none" w:pos="12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 20</w:t>
      </w:r>
    </w:p>
    <w:p>
      <w:pPr>
        <w:sectPr>
          <w:pgSz w:w="11900" w:h="16838" w:orient="portrait"/>
          <w:cols w:equalWidth="0" w:num="1">
            <w:col w:w="11000"/>
          </w:cols>
          <w:pgMar w:left="440" w:top="270" w:right="459" w:bottom="1440" w:gutter="0" w:footer="0" w:header="0"/>
        </w:sectPr>
      </w:pPr>
    </w:p>
    <w:bookmarkStart w:id="27" w:name="page28"/>
    <w:bookmarkEnd w:id="27"/>
    <w:p>
      <w:pPr>
        <w:ind w:left="280" w:hanging="273"/>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1420" w:top="270" w:right="579" w:bottom="1440" w:gutter="0" w:footer="0" w:header="0"/>
        </w:sectPr>
      </w:pPr>
    </w:p>
    <w:bookmarkStart w:id="28" w:name="page29"/>
    <w:bookmarkEnd w:id="28"/>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Agreement, along with all counterparts, shall become a binding agreement between the Underwriters and the Company in accordance with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tab/>
        <w:t>/s/ Marcos M. Gabriel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Marcos M. Gabriel</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Sandeep Chawla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 Nordlinger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Rob Nordlinger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For themselves, and acting on behalf of and as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“Representatives” of the several Underwriters named in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Schedule A hereto.</w:t>
      </w: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9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367"/>
        </w:trPr>
        <w:tc>
          <w:tcPr>
            <w:tcW w:w="9580" w:type="dxa"/>
            <w:vAlign w:val="bottom"/>
          </w:tcPr>
          <w:p>
            <w:pPr>
              <w:spacing w:after="0"/>
              <w:rPr>
                <w:sz w:val="24"/>
                <w:szCs w:val="24"/>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8"/>
        </w:trPr>
        <w:tc>
          <w:tcPr>
            <w:tcW w:w="9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Notes to be</w:t>
            </w:r>
          </w:p>
        </w:tc>
        <w:tc>
          <w:tcPr>
            <w:tcW w:w="0" w:type="dxa"/>
            <w:vAlign w:val="bottom"/>
          </w:tcPr>
          <w:p>
            <w:pPr>
              <w:spacing w:after="0"/>
              <w:rPr>
                <w:sz w:val="1"/>
                <w:szCs w:val="1"/>
                <w:color w:val="auto"/>
              </w:rPr>
            </w:pPr>
          </w:p>
        </w:tc>
      </w:tr>
      <w:tr>
        <w:trPr>
          <w:trHeight w:val="173"/>
        </w:trPr>
        <w:tc>
          <w:tcPr>
            <w:tcW w:w="9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9"/>
        </w:trPr>
        <w:tc>
          <w:tcPr>
            <w:tcW w:w="9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63,750,000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63,750,000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38,750,000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38,750,000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38,750,000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38,750,000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M&amp;T Securities, Inc.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23"/>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McCormick &amp; Company, Incorporated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Term Sheet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 4.150% Notes due 2029</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pricing term sheet (the “Pricing Term Sheet”) relates only to the securities described below and should be read together with McCormick &amp; Company, Incorporated’s preliminary prospectus supplement dated February 3, 2026 (the “Preliminary Prospectus Supplement”), the accompanying prospectus dated April 3, 2023, and the documents incorporated by reference therein. The information in this Pricing Term Sheet supplements the Preliminary Prospectus Supplement and supersedes the information contained in the Preliminary Prospectus Supplement to the extent inconsistent with the information in the Preliminary Prospectus Supplement. Capitalized terms used in this Pricing Term Sheet but not defined have the meanings given them in the Preliminary Prospectus Supplement.</w:t>
      </w:r>
    </w:p>
    <w:p>
      <w:pPr>
        <w:sectPr>
          <w:pgSz w:w="11900" w:h="16838" w:orient="portrait"/>
          <w:cols w:equalWidth="0" w:num="1">
            <w:col w:w="11020"/>
          </w:cols>
          <w:pgMar w:left="440" w:top="266" w:right="4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McCormick &amp; Company, Incorporated</w:t>
      </w:r>
    </w:p>
    <w:p>
      <w:pPr>
        <w:spacing w:after="0" w:line="12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 / S&amp;P)*: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$500,000,000</w:t>
      </w:r>
    </w:p>
    <w:p>
      <w:pPr>
        <w:spacing w:after="0" w:line="12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7"/>
          <w:szCs w:val="17"/>
          <w:color w:val="auto"/>
        </w:rPr>
        <w:t>SEC Registered, Registration No. 333-271070</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3, 2026</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5, 2026 (T+2)</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Semi-annually on February 15 and August 15, commencing on August 15, 2026</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15, 2029</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3.500% due January 15, 2029</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99-19 / 3.646%</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+53 basis points</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4.176%</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4.150%</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99.926% of the principal amount</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Proceeds (before expenses) to the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$497,630,000</w:t>
      </w:r>
    </w:p>
    <w:p>
      <w:pPr>
        <w:spacing w:after="0" w:line="129" w:lineRule="exact"/>
        <w:rPr>
          <w:sz w:val="20"/>
          <w:szCs w:val="20"/>
          <w:color w:val="auto"/>
        </w:rPr>
      </w:pPr>
    </w:p>
    <w:p>
      <w:pPr>
        <w:sectPr>
          <w:pgSz w:w="11900" w:h="16838" w:orient="portrait"/>
          <w:cols w:equalWidth="0" w:num="2">
            <w:col w:w="3240" w:space="6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At any time prior to the Par Call Date (as defined below), the notes will be redeemable at the Issuer’s option, in whole or in part, at any time or from time to time, at a redemption price equal to the greater of:</w:t>
      </w:r>
    </w:p>
    <w:p>
      <w:pPr>
        <w:spacing w:after="0" w:line="6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ind w:left="3860"/>
        <w:spacing w:after="0"/>
        <w:rPr>
          <w:sz w:val="20"/>
          <w:szCs w:val="20"/>
          <w:color w:val="auto"/>
        </w:rPr>
      </w:pPr>
      <w:r>
        <w:rPr>
          <w:rFonts w:ascii="Times New Roman" w:cs="Times New Roman" w:eastAsia="Times New Roman" w:hAnsi="Times New Roman"/>
          <w:sz w:val="17"/>
          <w:szCs w:val="17"/>
          <w:color w:val="auto"/>
        </w:rPr>
        <w:t>(1) 100% of the principal amount of the notes to be redeemed, and</w:t>
      </w:r>
    </w:p>
    <w:p>
      <w:pPr>
        <w:sectPr>
          <w:pgSz w:w="11900" w:h="16838" w:orient="portrait"/>
          <w:cols w:equalWidth="0" w:num="1">
            <w:col w:w="11020"/>
          </w:cols>
          <w:pgMar w:left="440" w:top="266" w:right="439" w:bottom="1440" w:gutter="0" w:footer="0" w:header="0"/>
          <w:type w:val="continuous"/>
        </w:sectPr>
      </w:pPr>
    </w:p>
    <w:bookmarkStart w:id="32" w:name="page33"/>
    <w:bookmarkEnd w:id="32"/>
    <w:p>
      <w:pPr>
        <w:ind w:left="386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(a) the sum of the present values of the remaining scheduled payments of principal and interest thereon discounted to, but excluding, the redemption date (assuming the notes matured on the Par Call Date) on a semi-annual basis (assuming a 360-day year consisting of twelve 30-day months) at the Treasury Rate plus 10 basis points less (b) interest accrued to, but excluding, the date of redemption,</w:t>
      </w:r>
    </w:p>
    <w:p>
      <w:pPr>
        <w:spacing w:after="0" w:line="73"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but excluding, the date of redemption.</w:t>
      </w:r>
    </w:p>
    <w:p>
      <w:pPr>
        <w:spacing w:after="0" w:line="119" w:lineRule="exact"/>
        <w:rPr>
          <w:sz w:val="20"/>
          <w:szCs w:val="20"/>
          <w:color w:val="auto"/>
        </w:rPr>
      </w:pPr>
    </w:p>
    <w:p>
      <w:pPr>
        <w:jc w:val="both"/>
        <w:ind w:left="3864" w:right="40"/>
        <w:spacing w:after="0" w:line="289" w:lineRule="auto"/>
        <w:rPr>
          <w:sz w:val="20"/>
          <w:szCs w:val="20"/>
          <w:color w:val="auto"/>
        </w:rPr>
      </w:pPr>
      <w:r>
        <w:rPr>
          <w:rFonts w:ascii="Times New Roman" w:cs="Times New Roman" w:eastAsia="Times New Roman" w:hAnsi="Times New Roman"/>
          <w:sz w:val="17"/>
          <w:szCs w:val="17"/>
          <w:color w:val="auto"/>
        </w:rPr>
        <w:t>On or after the Par Call Date, the Issuer may redeem the notes, in whole or in part, at any time and from time to time, at a redemption price equal to 100% of the principal amount of the notes being redeemed plus accrued and unpaid interest thereon to, but excluding, the date of redemption.</w:t>
      </w:r>
    </w:p>
    <w:p>
      <w:pPr>
        <w:spacing w:after="0" w:line="50"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“Par Call Date” means January 15, 2029.</w:t>
      </w:r>
    </w:p>
    <w:p>
      <w:pPr>
        <w:sectPr>
          <w:pgSz w:w="11900" w:h="16838" w:orient="portrait"/>
          <w:cols w:equalWidth="0" w:num="1">
            <w:col w:w="10984"/>
          </w:cols>
          <w:pgMar w:left="436" w:top="378" w:right="479" w:bottom="1440" w:gutter="0" w:footer="0" w:header="0"/>
        </w:sectPr>
      </w:pP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579780 AV9 / US579780AV93</w:t>
      </w:r>
    </w:p>
    <w:p>
      <w:pPr>
        <w:spacing w:after="0" w:line="129" w:lineRule="exact"/>
        <w:rPr>
          <w:sz w:val="20"/>
          <w:szCs w:val="20"/>
          <w:color w:val="auto"/>
        </w:rPr>
      </w:pPr>
    </w:p>
    <w:p>
      <w:pPr>
        <w:sectPr>
          <w:pgSz w:w="11900" w:h="16838" w:orient="portrait"/>
          <w:cols w:equalWidth="0" w:num="2">
            <w:col w:w="3144" w:space="720"/>
            <w:col w:w="7120"/>
          </w:cols>
          <w:pgMar w:left="436" w:top="37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112" w:lineRule="exact"/>
        <w:rPr>
          <w:sz w:val="20"/>
          <w:szCs w:val="20"/>
          <w:color w:val="auto"/>
        </w:rPr>
      </w:pPr>
    </w:p>
    <w:p>
      <w:pPr>
        <w:sectPr>
          <w:pgSz w:w="11900" w:h="16838" w:orient="portrait"/>
          <w:cols w:equalWidth="0" w:num="2">
            <w:col w:w="3144" w:space="720"/>
            <w:col w:w="7120"/>
          </w:cols>
          <w:pgMar w:left="436" w:top="378"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Citizens JMP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00" w:lineRule="exact"/>
        <w:rPr>
          <w:sz w:val="20"/>
          <w:szCs w:val="20"/>
          <w:color w:val="auto"/>
        </w:rPr>
      </w:pPr>
    </w:p>
    <w:p>
      <w:pPr>
        <w:sectPr>
          <w:pgSz w:w="11900" w:h="16838" w:orient="portrait"/>
          <w:cols w:equalWidth="0" w:num="2">
            <w:col w:w="3144" w:space="720"/>
            <w:col w:w="7120"/>
          </w:cols>
          <w:pgMar w:left="436" w:top="378" w:right="479" w:bottom="1440" w:gutter="0" w:footer="0" w:header="0"/>
          <w:type w:val="continuous"/>
        </w:sectPr>
      </w:pPr>
    </w:p>
    <w:p>
      <w:pPr>
        <w:spacing w:after="0" w:line="43" w:lineRule="exact"/>
        <w:rPr>
          <w:sz w:val="20"/>
          <w:szCs w:val="20"/>
          <w:color w:val="auto"/>
        </w:rPr>
      </w:pPr>
    </w:p>
    <w:p>
      <w:pPr>
        <w:ind w:left="224" w:hanging="224"/>
        <w:spacing w:after="0" w:line="262" w:lineRule="auto"/>
        <w:tabs>
          <w:tab w:leader="none" w:pos="2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 An explanation of the significance of ratings may be obtained from the ratings agencies. Generally, ratings agencies base their ratings on such material and information, and such of their own investigations, studies and assumptions, as they deem appropriate. Each of the expected security ratings above should be evaluated independently of any other security rating.</w:t>
      </w:r>
    </w:p>
    <w:p>
      <w:pPr>
        <w:spacing w:after="0" w:line="176" w:lineRule="exact"/>
        <w:rPr>
          <w:sz w:val="20"/>
          <w:szCs w:val="20"/>
          <w:color w:val="auto"/>
        </w:rPr>
      </w:pPr>
    </w:p>
    <w:p>
      <w:pPr>
        <w:ind w:left="4" w:right="280"/>
        <w:spacing w:after="0" w:line="278" w:lineRule="auto"/>
        <w:rPr>
          <w:sz w:val="20"/>
          <w:szCs w:val="20"/>
          <w:color w:val="auto"/>
        </w:rPr>
      </w:pPr>
      <w:r>
        <w:rPr>
          <w:rFonts w:ascii="Times New Roman" w:cs="Times New Roman" w:eastAsia="Times New Roman" w:hAnsi="Times New Roman"/>
          <w:sz w:val="17"/>
          <w:szCs w:val="17"/>
          <w:b w:val="1"/>
          <w:bCs w:val="1"/>
          <w:color w:val="auto"/>
        </w:rPr>
        <w:t>It is expected that delivery of the notes in this offering will be made against payment therefor by purchasers in this offering on or about February 5, 2026, which is the second business day following the pricing date of the notes (such settlement cycle being referred to as T+2). Under Rule 15c6-l under the Exchange Act, trades in the secondary market generally are required to settle in one business day, unless the parties to any such trade expressly agree otherwise. Accordingly, purchasers who wish to trade the notes before the business day prior to February 5, 2026 will be required to specify alternative settlement arrangements at the time of any such trade to prevent a failed settlement.</w:t>
      </w:r>
    </w:p>
    <w:p>
      <w:pPr>
        <w:spacing w:after="0" w:line="164"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w:t>
      </w:r>
    </w:p>
    <w:p>
      <w:pPr>
        <w:sectPr>
          <w:pgSz w:w="11900" w:h="16838" w:orient="portrait"/>
          <w:cols w:equalWidth="0" w:num="1">
            <w:col w:w="10984"/>
          </w:cols>
          <w:pgMar w:left="436" w:top="378" w:right="479" w:bottom="1440" w:gutter="0" w:footer="0" w:header="0"/>
          <w:type w:val="continuous"/>
        </w:sectPr>
      </w:pPr>
    </w:p>
    <w:bookmarkStart w:id="33" w:name="page34"/>
    <w:bookmarkEnd w:id="33"/>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Alternatively, BofA Securities, Inc., Truist Securities, Inc. or Wells Fargo Securities, LLC can arrange to send you the prospectus if you request it by calling BofA Securities, Inc. toll-free at 1-800-294-1322, Truist Securities, Inc. toll-free at 1-800-685-4786 or Wells Fargo Securities, LLC toll-free at 1-800-645-3751.</w:t>
      </w:r>
    </w:p>
    <w:p>
      <w:pPr>
        <w:sectPr>
          <w:pgSz w:w="11900" w:h="16838" w:orient="portrait"/>
          <w:cols w:equalWidth="0" w:num="1">
            <w:col w:w="10980"/>
          </w:cols>
          <w:pgMar w:left="440" w:top="266" w:right="4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GENERAL COUNSEL FOR THE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DELIVERED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6(b)</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References to the Prospectus in this Exhibit A include any supplements thereto at the Closing Date.</w:t>
      </w:r>
    </w:p>
    <w:p>
      <w:pPr>
        <w:spacing w:after="0" w:line="131" w:lineRule="exact"/>
        <w:rPr>
          <w:sz w:val="20"/>
          <w:szCs w:val="20"/>
          <w:color w:val="auto"/>
        </w:rPr>
      </w:pPr>
    </w:p>
    <w:p>
      <w:pPr>
        <w:ind w:left="424" w:right="20" w:hanging="424"/>
        <w:spacing w:after="0" w:line="258"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or be in good standing would not result in any material adverse change in the condition, financial or otherwise, or in the earnings, business affairs or business prospects of the Company and its subsidiaries considered as one enterprise, whether or not arising in the ordinary course of business (“Material Adverse Effect”).</w:t>
      </w:r>
    </w:p>
    <w:p>
      <w:pPr>
        <w:spacing w:after="0" w:line="88"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as of the date hereof by the Company of the Underwriting Agreement, the Indenture and any other agreement or instrument entered into or issued by the Company in connection with the transactions contemplated in the Underwriting Agreement, the Registration Statement and the Prospectus, and the offer, issuance and sale of the Notes pursuant thereto do not, to my knowledge, (i) violate any applicable judgment, order or decree of any court, regulatory body, administrative agency or governmental body of the United States federal government or the State of Maryland issued in a proceeding to which the Company or any of its subsidiaries is a party, (ii) breach or constitute a default under any indenture, mortgage, deed of trust, loan agreement or other material agreement to which the Company or any of its subsidiaries is a party, or (iii) result in any violation of the charter or by-laws of the Company or any of its subsidiaries.</w:t>
      </w:r>
    </w:p>
    <w:p>
      <w:pPr>
        <w:spacing w:after="0" w:line="94" w:lineRule="exact"/>
        <w:rPr>
          <w:rFonts w:ascii="Times New Roman" w:cs="Times New Roman" w:eastAsia="Times New Roman" w:hAnsi="Times New Roman"/>
          <w:sz w:val="18"/>
          <w:szCs w:val="18"/>
          <w:color w:val="auto"/>
        </w:rPr>
      </w:pPr>
    </w:p>
    <w:p>
      <w:pPr>
        <w:ind w:left="424" w:right="180" w:hanging="424"/>
        <w:spacing w:after="0" w:line="273" w:lineRule="auto"/>
        <w:tabs>
          <w:tab w:leader="none" w:pos="4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my knowledge, other than as set forth in the Prospectus, there are no actions, suits or proceedings pending or threatened against the Company or any of its subsidiaries, or to which the Company or any of its subsidiaries is a party or to which any property of the Company or any of its subsidiaries is subject, before any court or governmental department, commission, board, bureau, agency or instrumentality that question the validity of the Underwriting Agreement or the Indenture or any action taken or to be taken pursuant thereto, or that seek to enjoin or otherwise prevent the consummation of the transactions contemplated by the Underwriting Agreement or the Indenture or to recover in damages or obtain other relief as a result thereof, or that, if determined adversely to the Company or any of its subsidiaries, would individually or in the aggregate result in any material liability on the part of the Company and its subsidiaries taken as a whole or in any Material Adverse Effect.</w:t>
      </w:r>
    </w:p>
    <w:p>
      <w:pPr>
        <w:spacing w:after="0" w:line="76" w:lineRule="exact"/>
        <w:rPr>
          <w:rFonts w:ascii="Times New Roman" w:cs="Times New Roman" w:eastAsia="Times New Roman" w:hAnsi="Times New Roman"/>
          <w:sz w:val="17"/>
          <w:szCs w:val="17"/>
          <w:color w:val="auto"/>
        </w:rPr>
      </w:pPr>
    </w:p>
    <w:p>
      <w:pPr>
        <w:ind w:left="424" w:right="140" w:hanging="424"/>
        <w:spacing w:after="0" w:line="261"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neither the Company nor any of its subsidiaries is in violation of its charter or by-laws or in default in the performance or observance of any material obligation, covenant or condition contained in any indenture, mortgage, deed of trust, loan agreement, lease or other material agreement or material instrument to which it is a party except for such defaults as would not result in any material liability on the part of the Company and its subsidiaries taken as a whole or in any Material Adverse Effect.</w:t>
      </w:r>
    </w:p>
    <w:p>
      <w:pPr>
        <w:spacing w:after="0" w:line="85"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Company and each of its subsidiaries possess such valid and current certificates, authorizations, permits, licenses, approvals, consents and other authorizations issued by the appropriate state, federal or foreign regulatory agencies or bodies (including, without limitation, any insurance regulatory agencies or bodies) necessary to conduct their respective businesses except where such failure to possess such valid and current certificates, authorizations, permits, licenses, approvals, consents and other authorizations would not, singly or in the aggregate, result in a Material Adverse Effect, and to my knowledge, no state, federal or foreign regulatory agencies or bodies (including, without limitation, any insurance regulatory agencies or bodies) are considering the revocation or modification of, any such certificate, authorization, permit, license, approval, consent or other authorization (including, without limitation, any certificate, authorization, permit, license, approval, consent or other authorization from any insurance regulatory agencies or bodies) which, singly or in the aggregate, if the subject of an unfavorable decision, ruling or finding, would result in a Material Adverse Effect.</w:t>
      </w:r>
    </w:p>
    <w:p>
      <w:pPr>
        <w:sectPr>
          <w:pgSz w:w="11900" w:h="16838" w:orient="portrait"/>
          <w:cols w:equalWidth="0" w:num="1">
            <w:col w:w="11024"/>
          </w:cols>
          <w:pgMar w:left="436" w:top="266" w:right="439" w:bottom="1440" w:gutter="0" w:footer="0" w:header="0"/>
        </w:sectPr>
      </w:pPr>
    </w:p>
    <w:bookmarkStart w:id="35" w:name="page36"/>
    <w:bookmarkEnd w:id="35"/>
    <w:p>
      <w:pPr>
        <w:jc w:val="both"/>
        <w:ind w:left="424" w:hanging="424"/>
        <w:spacing w:after="0" w:line="266"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under the caption “Legal Proceedings” in the Company’s Annual Report on Form 10-K for the year ended November 30, 2025, to the extent such statements constitute matters of law, summaries of legal matters or legal conclusions, has been reviewed by me and is correct in all material respects.</w:t>
      </w:r>
    </w:p>
    <w:p>
      <w:pPr>
        <w:spacing w:after="0" w:line="17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 addition, such counsel shall also state (which statement may be in a separate letter in customary form) that no facts have come to his attention that cause it to believe that:</w:t>
      </w:r>
    </w:p>
    <w:p>
      <w:pPr>
        <w:spacing w:after="0" w:line="67" w:lineRule="exact"/>
        <w:rPr>
          <w:sz w:val="20"/>
          <w:szCs w:val="20"/>
          <w:color w:val="auto"/>
        </w:rPr>
      </w:pPr>
    </w:p>
    <w:p>
      <w:pPr>
        <w:ind w:left="424" w:right="320" w:hanging="424"/>
        <w:spacing w:after="0" w:line="282"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of the Underwriting Agreement, contained an untrue statement of a material fact or omitted to state a material fact required to be stated therein or necessary to make the statements therein not misleading;</w:t>
      </w:r>
    </w:p>
    <w:p>
      <w:pPr>
        <w:spacing w:after="0" w:line="6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of its date or as of the date hereof, contained or contains an untrue statement of a material fact or omitted or omits to state a material fact necessary in order to make the statements therein, in the light of the circumstances under which they were made, not misleading; or</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as of 2:50 P.M. (New York City time) on February 3, 2026 (which you have informed us is a time prior to the time of the first sale of the Notes by any Underwriter), contained an untrue statement of a material fact or omitted to state a material fact necessary in order to make the statements therein, in the light of the circumstances under which they were made, not misleading.</w:t>
      </w:r>
    </w:p>
    <w:p>
      <w:pPr>
        <w:spacing w:after="0" w:line="176"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In rendering such opinion, such counsel may rely, as to matters of fact (but not as to legal conclusions), to the extent he deems proper, on certificates of responsible officers of the Company and public officials. Such opinion shall not state that it is to be governed or qualified by, or that it is otherwise subject to, any treatise, written policy or other document relating to legal opinions, including, without limitation, the Legal Opinion Accord of the ABA Section of Business Law (1991).</w:t>
      </w:r>
    </w:p>
    <w:p>
      <w:pPr>
        <w:sectPr>
          <w:pgSz w:w="11900" w:h="16838" w:orient="portrait"/>
          <w:cols w:equalWidth="0" w:num="1">
            <w:col w:w="11004"/>
          </w:cols>
          <w:pgMar w:left="436" w:top="270"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DELIVERED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6(c)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References to the Prospectus in this Exhibit B include any supplements thereto at the Closing Date.</w:t>
      </w:r>
    </w:p>
    <w:p>
      <w:pPr>
        <w:spacing w:after="0" w:line="131" w:lineRule="exact"/>
        <w:rPr>
          <w:sz w:val="20"/>
          <w:szCs w:val="20"/>
          <w:color w:val="auto"/>
        </w:rPr>
      </w:pPr>
    </w:p>
    <w:p>
      <w:pPr>
        <w:ind w:left="424" w:right="300" w:hanging="424"/>
        <w:spacing w:after="0" w:line="261"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Maryland and has the corporate power and authority to carry on its business and to own, lease and operate its properties, as such business and properties are described in the General Disclosure Package and the Final Prospectus, and to execute, deliver and perform its obligations under the Underwriting Agreement, Indenture and the Notes and to consummate the transactions contemplated thereby.</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authorized, executed and delivered by the Company.</w:t>
      </w:r>
    </w:p>
    <w:p>
      <w:pPr>
        <w:spacing w:after="0" w:line="130" w:lineRule="exact"/>
        <w:rPr>
          <w:rFonts w:ascii="Times New Roman" w:cs="Times New Roman" w:eastAsia="Times New Roman" w:hAnsi="Times New Roman"/>
          <w:sz w:val="18"/>
          <w:szCs w:val="18"/>
          <w:color w:val="auto"/>
        </w:rPr>
      </w:pPr>
    </w:p>
    <w:p>
      <w:pPr>
        <w:ind w:left="424" w:right="100" w:hanging="424"/>
        <w:spacing w:after="0" w:line="258"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executed and delivered by the Company and, when authenticated by the Trustee or an authenticating agent for the Trustee in accordance with the provisions of the Indenture and delivered to and paid for by the purchasers thereof in accordance with the terms of the Underwriting Agreement, the Notes will be legal, valid and binding obligations of the Company, enforceable against the Company in accordance with their terms; the Notes will be entitled to the benefits of the Indenture; and the Notes conform in all material respects to the description thereof in the General Disclosure Package and the Final Prospectus and the Notes are in the form contemplated in the Indenture.</w:t>
      </w:r>
    </w:p>
    <w:p>
      <w:pPr>
        <w:spacing w:after="0" w:line="88"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has been duly qualified under the Trust Indenture Act of 1939, as amended (the “Trust Indenture Act”), and constitutes a legal, valid and binding obligation of the Company, enforceable against the Company in accordance with its terms; and the Indenture conforms in all material respects to the description thereof in the General Disclosure Package and the Final Prospectus.</w:t>
      </w:r>
    </w:p>
    <w:p>
      <w:pPr>
        <w:spacing w:after="0" w:line="85"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and the Indenture by the Company do not and the consummation by the Company of the transactions contemplated thereby will not (A) conflict with or constitute a breach of any of the terms or provisions of, or a default under, the Charter, the By-Laws or the Indenture or (B) violate or conflict with any United States federal law or New York state law, rule or regulation that in our experience is normally applicable to transactions of the type contemplated by the Underwriting Agreement.</w:t>
      </w:r>
    </w:p>
    <w:p>
      <w:pPr>
        <w:spacing w:after="0" w:line="85" w:lineRule="exact"/>
        <w:rPr>
          <w:rFonts w:ascii="Times New Roman" w:cs="Times New Roman" w:eastAsia="Times New Roman" w:hAnsi="Times New Roman"/>
          <w:sz w:val="18"/>
          <w:szCs w:val="18"/>
          <w:color w:val="auto"/>
        </w:rPr>
      </w:pPr>
    </w:p>
    <w:p>
      <w:pPr>
        <w:ind w:left="424" w:right="160" w:hanging="424"/>
        <w:spacing w:after="0" w:line="256"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been made or obtained under the Securities Act of 1933, as amended (the “Securities Act”) and the rules and regulations of the Commission thereunder, the Trust Indenture Act and the rules and regulations of the Commission thereunder and the Securities Exchange Act of 1934, as amended, and the rules and regulations of the Commission thereunder, no filing with, or authorization, approval, consent, license, order, registration, qualification or decree of, any United States federal or New York or Maryland governmental authority or agency is necessary in connection with the due authorization, execution and delivery of the Underwriting Agreement or the Indenture or for the issuance, sale and delivery of the Notes by the Company to the Underwriters pursuant to the Underwriting Agreement and the Indenture.</w:t>
      </w:r>
    </w:p>
    <w:p>
      <w:pPr>
        <w:spacing w:after="0" w:line="9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General Disclosure Package and the Final Prospectus under the captions “Description of Notes” and “Description of Debt Securities,” insofar as such statements summarize the terms of the Notes and the Indenture, are correct in all material respects; and the statements set forth in the General Disclosure Package and Final Prospectus under the caption “Material U.S. Federal Income Tax Consequences,” insofar as such statements constitute matters of law or legal conclusions, are correct in all material respects.</w:t>
      </w:r>
    </w:p>
    <w:p>
      <w:pPr>
        <w:spacing w:after="0" w:line="85"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giving effect to the offering and sale of the Notes and the application of the proceeds thereof as described in the General Disclosure Package or Final Prospectus will not be, an “investment company,” as such term is defined in the Investment Company Act of 1940, as amended.</w:t>
      </w:r>
    </w:p>
    <w:p>
      <w:pPr>
        <w:sectPr>
          <w:pgSz w:w="11900" w:h="16838" w:orient="portrait"/>
          <w:cols w:equalWidth="0" w:num="1">
            <w:col w:w="11024"/>
          </w:cols>
          <w:pgMar w:left="436" w:top="266" w:right="43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such counsel shall also state that:</w:t>
      </w:r>
    </w:p>
    <w:p>
      <w:pPr>
        <w:spacing w:after="0" w:line="131" w:lineRule="exact"/>
        <w:rPr>
          <w:sz w:val="20"/>
          <w:szCs w:val="20"/>
          <w:color w:val="auto"/>
        </w:rPr>
      </w:pPr>
    </w:p>
    <w:p>
      <w:pPr>
        <w:ind w:left="424" w:right="100" w:hanging="424"/>
        <w:spacing w:after="0" w:line="261"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of its filing with the Commission and the Final Prospectus as of the date thereof (except for the financial statements, including the notes and schedules thereto, and other financial and accounting data included therein or omitted therefrom, as to which we express no view), appear on their face to be appropriately responsive in all material respects to the requirements of the Securities Act and the applicable rules and regulations of the Commission thereunder; and</w:t>
      </w:r>
    </w:p>
    <w:p>
      <w:pPr>
        <w:spacing w:after="0" w:line="85"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facts have come to our attention that have caused us to believe that (i) any part of the Registration Statement, when such part became effective, contained an untrue statement of a material fact or omitted to state a material fact required to be stated therein or necessary to make the statements therein not misleading (except for the financial statements, including the notes and schedules thereto, and other financial and accounting data included therein or omitted therefrom, as to which we express no view), (ii) the General Disclosure Package, as of the Applicable Time, contained an untrue statement of a material fact or omitted to state a material fact necessary in order to make the statements therein, in the light of the circumstances under which they were made, not misleading (except for the financial statements, including the notes and schedules thereto, and other financial and accounting data included therein or omitted therefrom, as to which we express no view) or (iii) the Final Prospectus, as of the date of the Final Prospectus Supplement or as of the date hereof, contained or contains an untrue statement of a material fact or omitted or omits to state a material fact necessary in order to make the statements therein, in the light of the circumstances under which they were made, not misleading (except for the financial statements, including the notes and schedules thereto, and other financial and accounting data included therein or omitted therefrom, as to which we express no view).</w:t>
      </w:r>
    </w:p>
    <w:p>
      <w:pPr>
        <w:spacing w:after="0" w:line="188"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In rendering such opinions, such counsel may rely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to matters of fact (but not as to legal conclusions), to the extent they deem proper, on certificates of responsible officers of the Company and public officials. Such opinion shall not state that it is to be governed or qualified by, or that it is otherwise subject to, any treatise, written policy or other document relating to legal opinions, including, without limitation, the Legal Opinion Accord of the ABA Section of Business Law (1991).</w:t>
      </w:r>
    </w:p>
    <w:p>
      <w:pPr>
        <w:sectPr>
          <w:pgSz w:w="11900" w:h="16838" w:orient="portrait"/>
          <w:cols w:equalWidth="0" w:num="1">
            <w:col w:w="11004"/>
          </w:cols>
          <w:pgMar w:left="436" w:top="270" w:right="4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 NO. 579780 AV9 / US579780AV93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U.S. $500,000,000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$500,000,000 4.150% NOTES DUE 2029</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registered owner of this security (as indicated below) is The Depository Trust Company (the “Depository”) or a nominee of the Depository, this Security is a Global Security and the following two legends apply:</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(55 WATER STREET, NEW YORK, NEW YORK) TO THE ISSUER OR ITS AGENT FOR REGISTRATION OF TRANSFER, EXCHANGE OR PAYMENT, AND SUCH CERTIFICATE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UNLESS AND UNTIL THIS CERTIFICATE IS EXCHANGED IN WHOLE OR IN PART FOR SECURITIES IN CERTIFICATED FORM, THIS CERTIFICATE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APPLICABLE, THE “TOTAL AMOUNT OF OID”, “YIELD TO MATURITY” AND “INITIAL ACCRUAL PERIOD OID” (COMPUTED UNDER THE APPROXIMATE METHOD) BELOW WILL BE COMPLETED SOLELY FOR THE PURPOSES OF APPLYING THE FEDERAL INCOME TAX ORIGINAL ISSUE DISCOUNT (“OID”) RULES.</w:t>
      </w:r>
    </w:p>
    <w:p>
      <w:pPr>
        <w:sectPr>
          <w:pgSz w:w="11900" w:h="16838" w:orient="portrait"/>
          <w:cols w:equalWidth="0" w:num="1">
            <w:col w:w="11020"/>
          </w:cols>
          <w:pgMar w:left="440" w:top="117" w:right="439" w:bottom="1440" w:gutter="0" w:footer="0" w:header="0"/>
        </w:sectPr>
      </w:pPr>
    </w:p>
    <w:p>
      <w:pPr>
        <w:spacing w:after="0" w:line="3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ISSUE PRICE: $499,630,000</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TO ELECT REPAYMENT:</w:t>
      </w:r>
    </w:p>
    <w:p>
      <w:pPr>
        <w:spacing w:after="0" w:line="3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2"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ORIGINAL ISSUE DATE: February 5,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OPTIONAL AT ANY TIME REPAYMENT DATES:</w:t>
      </w:r>
    </w:p>
    <w:p>
      <w:pPr>
        <w:spacing w:after="0" w:line="129"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STATED MATURITY DATE: February 15, 2029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MINIMUM DENOMINATION:</w:t>
      </w:r>
    </w:p>
    <w:p>
      <w:pPr>
        <w:spacing w:after="0" w:line="39"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$1,000</w:t>
      </w:r>
    </w:p>
    <w:p>
      <w:pPr>
        <w:spacing w:after="0" w:line="1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$2,000</w:t>
      </w:r>
    </w:p>
    <w:p>
      <w:pPr>
        <w:spacing w:after="0" w:line="111"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SPECIFIED CURRENCY:</w:t>
      </w:r>
    </w:p>
    <w:p>
      <w:pPr>
        <w:spacing w:after="0" w:line="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United States Dollars:</w:t>
      </w:r>
    </w:p>
    <w:p>
      <w:pPr>
        <w:spacing w:after="0" w:line="9" w:lineRule="exact"/>
        <w:rPr>
          <w:sz w:val="20"/>
          <w:szCs w:val="20"/>
          <w:color w:val="auto"/>
        </w:rPr>
      </w:pPr>
    </w:p>
    <w:p>
      <w:pPr>
        <w:ind w:left="8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ADDITIONAL AMOUNTS:</w:t>
      </w:r>
    </w:p>
    <w:p>
      <w:pPr>
        <w:spacing w:after="0" w:line="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DEFEASANCE: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39"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Foreign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COVENANT DEFEASANCE:</w:t>
      </w:r>
    </w:p>
    <w:p>
      <w:pPr>
        <w:spacing w:after="0" w:line="2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2"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EXCHANGE RATE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 AMOUNT OF OID:</w:t>
      </w:r>
    </w:p>
    <w:p>
      <w:pPr>
        <w:spacing w:after="0" w:line="129" w:lineRule="exact"/>
        <w:rPr>
          <w:sz w:val="20"/>
          <w:szCs w:val="20"/>
          <w:color w:val="auto"/>
        </w:rPr>
      </w:pPr>
    </w:p>
    <w:p>
      <w:pPr>
        <w:sectPr>
          <w:pgSz w:w="11900" w:h="16838" w:orient="portrait"/>
          <w:cols w:equalWidth="0" w:num="2">
            <w:col w:w="4980" w:space="720"/>
            <w:col w:w="5320"/>
          </w:cols>
          <w:pgMar w:left="440" w:top="117" w:right="439" w:bottom="1440" w:gutter="0" w:footer="0" w:header="0"/>
          <w:type w:val="continuous"/>
        </w:sectPr>
      </w:pPr>
    </w:p>
    <w:p>
      <w:pPr>
        <w:ind w:left="820" w:right="100"/>
        <w:spacing w:after="0" w:line="232" w:lineRule="exact"/>
        <w:rPr>
          <w:sz w:val="20"/>
          <w:szCs w:val="20"/>
          <w:color w:val="auto"/>
        </w:rPr>
      </w:pPr>
      <w:r>
        <w:rPr>
          <w:rFonts w:ascii="Times New Roman" w:cs="Times New Roman" w:eastAsia="Times New Roman" w:hAnsi="Times New Roman"/>
          <w:sz w:val="18"/>
          <w:szCs w:val="18"/>
          <w:color w:val="auto"/>
        </w:rPr>
        <w:t xml:space="preserve">OPTION TO RECEIVE PAYMENTS IN SPECIFIED CURRENCY OTHER THAN U.S. DOLLARS: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YIELD TO MATURITY: 4.176%</w:t>
      </w:r>
    </w:p>
    <w:p>
      <w:pPr>
        <w:sectPr>
          <w:pgSz w:w="11900" w:h="16838" w:orient="portrait"/>
          <w:cols w:equalWidth="0" w:num="2">
            <w:col w:w="4980" w:space="720"/>
            <w:col w:w="5320"/>
          </w:cols>
          <w:pgMar w:left="440" w:top="117" w:right="439" w:bottom="1440" w:gutter="0" w:footer="0" w:header="0"/>
          <w:type w:val="continuous"/>
        </w:sectPr>
      </w:pPr>
    </w:p>
    <w:bookmarkStart w:id="39" w:name="page40"/>
    <w:bookmarkEnd w:id="39"/>
    <w:p>
      <w:pPr>
        <w:ind w:left="5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ACCRUAL PERIOD OID:</w:t>
      </w:r>
    </w:p>
    <w:p>
      <w:pPr>
        <w:spacing w:after="0" w:line="117" w:lineRule="exact"/>
        <w:rPr>
          <w:sz w:val="20"/>
          <w:szCs w:val="20"/>
          <w:color w:val="auto"/>
        </w:rPr>
      </w:pPr>
    </w:p>
    <w:p>
      <w:pPr>
        <w:ind w:left="820"/>
        <w:spacing w:after="0"/>
        <w:tabs>
          <w:tab w:leader="none" w:pos="5680" w:val="left"/>
        </w:tabs>
        <w:rPr>
          <w:sz w:val="20"/>
          <w:szCs w:val="20"/>
          <w:color w:val="auto"/>
        </w:rPr>
      </w:pPr>
      <w:r>
        <w:rPr>
          <w:rFonts w:ascii="Times New Roman" w:cs="Times New Roman" w:eastAsia="Times New Roman" w:hAnsi="Times New Roman"/>
          <w:sz w:val="18"/>
          <w:szCs w:val="18"/>
          <w:color w:val="auto"/>
        </w:rPr>
        <w:t>INTEREST RATE: 4.150%</w:t>
      </w:r>
      <w:r>
        <w:rPr>
          <w:sz w:val="20"/>
          <w:szCs w:val="20"/>
          <w:color w:val="auto"/>
        </w:rPr>
        <w:tab/>
      </w:r>
      <w:r>
        <w:rPr>
          <w:rFonts w:ascii="Times New Roman" w:cs="Times New Roman" w:eastAsia="Times New Roman" w:hAnsi="Times New Roman"/>
          <w:sz w:val="17"/>
          <w:szCs w:val="17"/>
          <w:color w:val="auto"/>
        </w:rPr>
        <w:t>SINKING FUND: None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PRINCIPAL FINANCIAL CENTER:</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February 15 and August 15</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REGULAR RECORD DATES: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February 1 and August 1</w:t>
      </w:r>
    </w:p>
    <w:p>
      <w:pPr>
        <w:spacing w:after="0" w:line="72"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OPTIONAL REDEMPTION: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INITIAL REDEMPTION DATE: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INITIAL REDEMPTION PERCENTAGE: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ANNUAL REDEMPTION PERCENTAGE REDUCTION: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DIFFERENT PROVISIONS: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MCCORMICK &amp; COMPANY, INCORPORATED, a Maryland corporation (herein referred to as the “Company”, which term includes any successor corporation under the Indenture hereinafter referred to), for value received, hereby promises to pay to Cede &amp; Co., or registered assigns, the principal sum of $500,000,000 on the Stated Maturity Date shown above (except to the extent redeemed or repaid prior to the Stated Maturity Date) and to pay interest, if any, thereon at the Interest Rate shown above from the Original Issue Date shown above or from the most recent Interest Payment Date to which interest, if any, has been paid or duly provided for, semi-annually on February 15 and August 15 of each year (each, an “Interest Payment Date”), with the first payment to be made on August 15, 2026, until the principal hereof is paid or made available for payment and on the Stated Maturity Date, any Redemption Date or Repayment Date (such terms are together hereinafter referred to as the “Maturity Date” with respect to the principal repayable on such date); provided, however, that any payment of principal (or premium, if any) or interest, if any, to be made on any Interest Payment Date or on the Maturity Date that is not a Business Day (as defined below) shall be made on the next succeeding Business Day with the same force and effect as if made on such Interest Payment Date or the Maturity Date, as the case may be, and no additional interest, if any, shall accrue on the amount so payable as a result of such delayed payment. For purposes of this Security, unless otherwise specified on the face hereof, “Business Day” means any day that is not a Saturday or Sunday and that is neither a legal holiday nor a day on which commercial banks are authorized or required by law, regulation or executive order to close in The City of New York; provided, however, that, if the Specified Currency shown above is a foreign currency, such day is also not a day on which commercial banks are authorized or required by law, regulation or executive order to close in the Principal Financial Center (as defined below) of the country issuing the Specified Currency (or, if the Specified Currency is the euro, such day is also a day on which the Trans-European Automated Real-Time Gross Settlement Express Transfer (TARGET2) system is open). “Principal Financial Center” means the capital city of the country issuing the Specified Currency except that with respect to United States dollars, Australian dollars, Canadian dollars, Deutschemarks, Dutch guilders, South African rand and Swiss francs, the “Principal Financial Center” shall be The City of New York, Sydney and (solely in the case of the Specified Currency) Melbourne, Toronto, Frankfurt, Amsterdam, Johannesburg and Zurich, respectively.</w:t>
      </w:r>
    </w:p>
    <w:p>
      <w:pPr>
        <w:spacing w:after="0" w:line="19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interest hereon will accrue from, and including, the immediately preceding Interest Payment Date in respect of which interest, if any, has been paid or duly provided for (or from, and including, the Original Issue Date if no interest has been paid or duly provided for) to, but excluding, the succeeding Interest Payment Date or the Maturity Date, as the case may be. The interest, if any, so payable, and punctually paid or duly provided for, on any Interest Payment Date will, as provided in the Indenture and subject to certain exceptions described herein (referred to on the reverse hereof), be paid to the person (the “Holder”) in whose name this Security (or one or more Predecessor Securities) is registered at the close of business on February 1 and August 1 (whether or not a Business Day), as the case may be, next preceding such Interest Payment Date (unless other Regular Record Dates are specified on the face hereof) (each, a “Regular Record Date”); provided, however, that, if this Security was issued between a Regular Record Date and the initial Interest Payment Date relating to such Regular Record Date, interest, if any, for the period beginning on the Original Issue Date and ending on such initial Interest Payment Date shall be paid on the Interest Payment Date following the next succeeding Regular Record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0" w:name="page41"/>
    <w:bookmarkEnd w:id="4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to the Holder hereof on such next succeeding Regular Record Date; and provided further that interest, if any, payable on the Maturity Date will be payable to the person to whom the principal hereof shall be payable. Any such interest not so punctually paid or duly provided for on any Interest Payment Date other than the Maturity Date (“Defaulted Interest”) will forthwith cease to be payable to the Holder on such Regular Record Date and may either be paid to the person in whose name this Security (or one or more Predecessor Securities) is registered at the close of business on a special record date (the “Special Record Date”) for the payment of such Defaulted Interest to be fixed by the Trustee (referred to on the reverse hereof), notice where of shall be given to the Holder of this Security not less than ten days prior to such Special Record Date, or may be paid at any time in any other lawful manner, all as more fully provided in the Indenture.</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Unless otherwise specified above, all payments in respect of this Security will be made in U.S. dollars regardless of the Specified Currency shown above unless the Holder hereof makes the election described below. If the Specified Currency shown above is other than U.S. dollars, the Exchange Rate Agent (referred to on the reverse hereof) will arrange to convert any such amounts so payable in respect hereof into U.S. dollars in the manner described on the reverse hereof; provided, however, that the Holder hereof may, if so indicated above, elect to receive all or any specified portion of any payment of principal, premium, if any, and/or interest, if any, in respect of this Security in such Specified Currency by delivery of a written request to the corporate trust office of the Trustee in St. Paul, Minnesota, currently the office of the Trustee located at U.S. Bank, Global Corporate Trust Services, 111 Fillmore Avenue E, St. Paul, Minnesota 55107, or at such other office as the Company may determine, on or prior to the applicable Regular Record Date or at least fifteen days prior to the Maturity Date, as the case may be. Such request may be in writing (mailed or hand delivered) or by electronic mail or other form of facsimile transmission. The Holder hereof may elect to receive payment in such Specified Currency for all principal, premium, if any, and interest payments, if any, and need not file a separate election for each payment. Such election will remain in effect until revoked by written notice to the Trustee, but written notice of any such revocation must be received by the Trustee on or prior to the applicable Regular Record Date or at least fifteen days prior to the Maturity Date, as the case may be.</w:t>
      </w:r>
    </w:p>
    <w:p>
      <w:pPr>
        <w:spacing w:after="0" w:line="19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determines that the Specified Currency is not available for making payments in respect hereof due to the imposition of exchange controls or other circumstances beyond the Company’s control, or is no longer used by the government of the country issuing such currency or for the settlement of transactions by public institutions of or within the international banking community, then the Holder hereof may not so elect to receive payments in the Specified Currency and any such outstanding election shall be automatically suspended, until the Company determines that the Specified Currency is again available for making such payments. Any payment made under such circumstances in U.S. dollars where the required payment is in a Specified Currency will not constitute a default under the Indenture.</w:t>
      </w:r>
    </w:p>
    <w:p>
      <w:pPr>
        <w:spacing w:after="0" w:line="18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In the event of an official redenomination of the Specified Currency, the obligations of the Company with respect to payments on this Security, in all cases, shall be deemed immediately following such redenomination to provide for payment of that amount of redenominated currency representing the amount of such obligations immediately before such redenomination. In no event shall any adjustment be made to any amount payable hereunder as a result of any change in the value of the Specified Currency shown above relative to any other currency due solely to fluctuations in exchange rates.</w:t>
      </w:r>
    </w:p>
    <w:p>
      <w:pPr>
        <w:spacing w:after="0" w:line="16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Until this Security is paid in full or payment therefor in full is duly provided for, the Company will at all times maintain a Paying Agent (which Paying Agent may be the Trustee) in St. Paul, Minnesota, currently the office of the Trustee located at U.S. Bank, Global Corporate Trust Services, 111 Fillmore Avenue E, St. Paul, Minnesota 55107, or at such other office as the Company may determine (which, unless otherwise specified above, shall be the “Place of Payment”). The Company has initially appointed U.S. Bank Trust Company, National Association (as successor in interest to U.S. Bank National Association), at its office in St. Paul, Minnesota, currently the office of the Trustee located at U.S. Bank, Global Corporate Trust Services, 111 Fillmore Avenue E, St. Paul, Minnesota 55107, or at such other office as the Company may determine as Paying Agent.</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Unless otherwise shown above, payment of interest on this Security (other than on the Maturity Date) will be made by check mailed to the registered address of the Holder hereof as of the Regular Record Date; provided, however, that, if (i) the Specified Currency is U.S. dollars and this is a Global Security (as defined on the reverse hereof) or (ii) the Specified Currency is a Foreign Currency, and the Holder has elected to receive payments in such Specified Currency as provided for above, such interest payments will be made by transfer of immediately available funds, but only if appropriate wire transfer instructions have been received in writing by the Trustee on or prior to the applicable Regular Record Date. Simultaneously with any election by the Holder hereof to receive payments in respect hereof in the Specified Currency (if other than 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dollars), such Holder may provide appropriate wire transfer instructions to the Trustee, and all such payments will be made in immediately available funds to an account maintained by the payee with a bank, but only if such bank has appropriate facilities therefor. Unless otherwise specified above, the principal hereof (and premium, if any) and interest, if any, hereon payable on the Maturity Date will be paid in immediately available funds upon surrender of this Security at the office of the Trustee maintained for that purpose in St. Paul, Minnesota, currently the office of the Trustee located at U.S. Bank, Global Corporate Trust Services, 111 Fillmore Avenue E, St. Paul, Minnesota 55107, or at such other office as the Company may determine. The Company will pay any administrative costs imposed by banks in making payments in immediately available funds but, except as otherwise provided under Additional Amounts above, any tax, assessment or governmental charge imposed upon payments will be borne by the Holders of the Securities in respect of which such payments are made.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this Security, if any, will be computed on the basis of a 360-day year consisting of twelve 30-day months.</w:t>
      </w:r>
    </w:p>
    <w:p>
      <w:pPr>
        <w:spacing w:after="0" w:line="225" w:lineRule="exact"/>
        <w:rPr>
          <w:sz w:val="20"/>
          <w:szCs w:val="20"/>
          <w:color w:val="auto"/>
        </w:rPr>
      </w:pPr>
    </w:p>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SECURITY SET FORTH ON THE REVERSE HEREOF, WHICH FURTHER PROVISIONS SHALL FOR ALL PURPOSES HAVE THE SAME EFFECT AS IF SET FORTH AT THIS PLACE.</w:t>
      </w:r>
    </w:p>
    <w:p>
      <w:pPr>
        <w:spacing w:after="0" w:line="14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this Security shall not be entitled to any benefit under the Indenture or be valid or obligatory for any purpose.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 under its facsimile corporate seal.</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 Marcos M. Gabriel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P. Conrad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Name:  Jeffery D. Schwartz</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Title:    Vice President, General Counsel and</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This is one of the Securities of the series designated therein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referred to in the within-mentioned Indenture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2026</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66" w:right="5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MCCORMICK &amp; COMPANY,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$500,000,000 4.150% NOTES DUE 2029</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This Security is one of a duly authorized issue of securities (herein called the “Securities”) of the Company, issued and to be issued in one or more series under that certain Indenture, dated as of July 8, 2011, as it may be supplemented from time to time (herein called the “Indenture”), between the Company and U.S. Bank Trust Company, National Association, as successor in interest to U.S. Bank National Association, as Trustee (herein called the “Trustee”, which term includes any successor trustee under the Indenture with respect to a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If the Specified Currency is other than U.S. dollars and the Holder hereof fails to elect payment in such Specified Currency in accordance with the procedures set forth on the face hereof, the amount of U.S. dollar payments to be made in respect hereof will be determined by the Exchange Rate Agent specified on the face hereof or a successor thereto (the “Exchange Rate Agent”) based on the highest bid quotation in The City of New York at approximately 11:00 A.M., New York City time, on the second Business Day preceding the applicable payment date received by the Exchange Rate Agent from the recognized foreign exchange dealers (one of whom may be the Exchange Rate Agent) selected by the Exchange Rate Agent and approved by the Company for the purchase by the quoting dealer of the Specified Currency for U.S. dollars for settlement on such payment date in the aggregate amount of the Specified Currency pay able to all holders of Securities scheduled to receive U.S. dollar payments and at which the applicable dealer commits to execute a contract. If three such bid quotations are not available, payments will be made in the Specified Currency.</w:t>
      </w:r>
    </w:p>
    <w:p>
      <w:pPr>
        <w:spacing w:after="0" w:line="19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If the Specified Currency is other than U.S. dollars and the Holder hereof has elected payment in such Specified Currency in accordance with the procedures set forth on the face hereof and the Specified Currency is not available due to the imposition of exchange controls or to other circumstances beyond the Company’s control, the Company will be entitled to satisfy its obligations to the Holder of this Security by making such payment in U.S. dollars on the basis of the noon buying rate in The City of New York for wire transfers of such Specified Currency as certified for customs purposes (or, if not so certified, as otherwise determined) by the Federal Reserve Bank of New York (the “Market Exchange Rate”) as computed by the Exchange Rate Agent on the second Business Day prior to the applicable payment date or, if the Market Exchange Rate is then not available, on the basis of the most recently available Market Exchange Rate or as otherwise indicated above. Any payment made under such circumstances in U.S. dollars where the required payment is in a Specified Currency will not constitute a default under the Indenture.</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All determinations referred to above made by the Exchange Rate Agent shall be at its sole discretion (except to the extent expressly provided that any determination is subject to approval by the Company) and, in the absence of manifest error, shall be conclusive for all purposes and binding on the Holder of this Security, and the Exchange Rate Agent shall have no liability therefor.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currency exchange costs will be borne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References herein to “U.S. dollars” or “U.S. $” or “$” are to the currency of the United States of America.</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If so specified on the face hereof, at any time prior to January 15, 2029 (the date that is one month prior to their maturity date), the Company may at its option redeem this Security in whole or in part, at any time and from time to time, in increments of $1,000 (provided that any remaining principal amount of this Security shall not be less than the Minimum Denomination specified on the face hereof) at a Redemption Price (expressed as a percentage of principal amount and rounded to three decimal places) equal to the greater of: (i) (a) the sum of the present values of the remaining scheduled payments of principal and interest thereon discounted to, but excluding, the Redemption Date (assuming this Security matured on the Par Call Date, as defined below) on a semi-annual basis (assuming a 360-day year consisting of twelve 30-day months) at the Treasury Rate plus 10 basis points less (b) interest accrued to, but excluding, the Redemption Date and (ii) 100% of the principal amount hereof, plus, in either case, accrued and unpaid interest thereon, if any, to, but excluding, the Redemption Date. At any time on or after January 15, 2029 (the date that is one month prior to their maturity date) (the “Par Call Date”), the Company may redeem this Security, in whole or in part, at any time and from time to time, at a Redemption Price equal to 100% of the principal amount of the Security being redeemed plus accrued and unpaid interest thereon, if any, to, but excluding, the Redemption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foregoing:</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22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Notice of any redemption will be mailed or electronically delivered (or otherwise transmitted in accordance with the procedures of the Depository) at least 10 days but not more than 60 days before the Redemption Date to each holder of this Security to be redeemed. A notice of redemption may, at the Company’s discretion, be subject to one or more conditions precedent, including, but not limited to, completion of an equity offering, a financing, or other corporate transaction, provided that if such redemption or notice is subject to satisfaction of one or more conditions precedent, such notice shall state that, in the Company’s discretion, the Redemption Date may be postponed until up to 60 days following the notice of redemption, and such notice may be rescinded in the event that any or all such conditions shall not have been satisfied by the Redemption Date (including as it may be postponed).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6" w:name="page47"/>
    <w:bookmarkEnd w:id="46"/>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Securities for redemption will be made pro rata, by lot or by such other method as the Trustee in its sole discretion deems appropriate and fair. No Securities of a principal amount of $2,000 or less will be redeemed in part. If any Security is to be redeemed in part only, the notice of redemption that relates to the Security will state the portion of the principal amount of the note to be redeemed. A new Security in a principal amount equal to the unredeemed portion of the Security will be issued in the name of the holder of the Security upon surrender for cancellation of the original Security. For so long as the Securities are held by the Depository (or another depository), the redemption of the Securities shall be done in accordance with the policies and procedures of such Depository.</w:t>
      </w:r>
    </w:p>
    <w:p>
      <w:pPr>
        <w:spacing w:after="0" w:line="187"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 will pay interest to a person other than the holder of record on the Regular Record Date if the Company elects to redeem the Securities on a date that is after a Regular Record Date but on or prior to the corresponding Interest Payment Date. In this instance, the Company will pay accrued interest on the Securities being redeemed to, but excluding, the Redemption Date to the same person to whom the Company will pay the principal of those Securities.</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If so specified on the face hereof, this Security shall be repayable prior to the Stated Maturity Date at the option of the Holder on each applicable Optional Repayment Date shown on the face hereof at a repayment price equal to 100% of the principal amount to be repaid, together with accrued interest, if any, to the Repayment Date. In order for this Security to be repaid, the Trustee must receive at least 30 but not more than 45 days prior to an Optional Repayment Date, this Security with the form attached hereto entitled “Option to Elect Repayment” duly completed. Any tender of this Security for repayment shall be irrevocable. The repayment option may be exercised by the Holder of this Security in whole or in part in increments of $1,000 (provided that any remaining principal amount of this Security shall not be less than the Minimum Denomination specified on the face hereof). Upon any partial repayment, this Security shall be canceled and a new Security or Securities for the remaining principal amount hereof shall be issued in the name of the Holder of this Security.</w:t>
      </w:r>
    </w:p>
    <w:p>
      <w:pPr>
        <w:spacing w:after="0" w:line="192"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Change of Control Repurchase</w:t>
      </w:r>
      <w:r>
        <w:rPr>
          <w:rFonts w:ascii="Times New Roman" w:cs="Times New Roman" w:eastAsia="Times New Roman" w:hAnsi="Times New Roman"/>
          <w:sz w:val="18"/>
          <w:szCs w:val="18"/>
          <w:color w:val="auto"/>
        </w:rPr>
        <w:t>. If a Change of Control Triggering Event, as defined below, occurs, unless the Company has redeemed all of the Securities as described above, each Holder of this Security will have the right to require the Company to repurchase all or any part (equal to $2,000 or integral multiples of $1,000 in excess thereof) of this Security pursuant to the offer described below (the “Change of Control Offer”) on the terms set forth herein. In the Change of Control Offer, the Company will be required to offer payment in cash equal to 101% of the aggregate principal amount of this Security repurchased plus accrued and unpaid interest, if any, on the Security repurchased, to, but excluding, the date of repurchase (the “Change of Control Payment”). Within 30 days following any Change of Control Triggering Event, the Company will send notice of such Change of Control Offer (the “Change of Control Offer Notice”) by first-class mail, with a copy to the Trustee, to each Holder of this Security to the address of such Holder appearing in the security register or otherwise in accordance with the procedures of the Depository, with the following information: (a) that the Change of Control Offer is being made pursuant to the provisions of the Indenture and that each Security properly tendered pursuant to such Change of Control Offer will be accepted for payment by the Company; (b) the date of the Change of Control Triggering Event; (c) the date, which will be no earlier than 30 days and no later than 60 days after the date the Change of Control Offer Notice is mailed, by which the Company must purchase the Security (the “Change of Control Payment Date”); (d) the price that the Company must pay for the Security the Company is obligated to purchase;</w:t>
      </w:r>
    </w:p>
    <w:p>
      <w:pPr>
        <w:spacing w:after="0" w:line="2" w:lineRule="exact"/>
        <w:rPr>
          <w:sz w:val="20"/>
          <w:szCs w:val="20"/>
          <w:color w:val="auto"/>
        </w:rPr>
      </w:pPr>
    </w:p>
    <w:p>
      <w:pPr>
        <w:ind w:left="4" w:right="120" w:hanging="4"/>
        <w:spacing w:after="0" w:line="253"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(f) that any Security not properly tendered will remain outstanding and continue to accrue interest; (g) that unless the Company defaults in the payment of the Change of Control Payment, each Security accepted for payment pursuant to the Change of Control Offer will cease to accrue interest on the Change of Control Payment Date; (h) the procedures for surrendering the Security for payment; and (i) the procedures by which a Holder may withdraw such a tender after it is given.</w:t>
      </w:r>
    </w:p>
    <w:p>
      <w:pPr>
        <w:spacing w:after="0" w:line="18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must comply in all material respects with the requirements of Rule 14e-1 under the Exchange Act and any other securities laws and regulations thereunder to the extent those laws and regulations are applicable in connection with the repurchase of this Security as a result of a Change of Control Triggering Event. To the extent that the provisions of any such securities laws or regulations conflict with the Change of Control repurchase provisions of this Security, the Company will be required to comply with the applicable securities laws and regulations and will not be deemed to have breached its obligations under the Change of Control repurchase provisions of this Security by virtue of such conflicts.</w:t>
      </w:r>
    </w:p>
    <w:p>
      <w:pPr>
        <w:spacing w:after="0" w:line="183"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On the Change of Control Payment Date, the Company will be required, to the extent lawful, to: (a) accept for payment all or a part of this Security properly tendered pursuant to the Change of Control Offer; (b) deposit with the Trustee or a paying agent an amount equal to the Change of Control Payment in respect of all or the part of this Security properly tendered; and (c) deliver or cause to be delivered to the Trustee each Security properly accepted.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foregoing:</w:t>
      </w:r>
    </w:p>
    <w:p>
      <w:pPr>
        <w:spacing w:after="0" w:line="11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“Below Investment Grade Rating Event” means this Security is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this Security is under publicly announced consideration for possible downgrade by either of the Rating Agencies).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such term is used in Section 13(d)(3) of the Exchange Act) other than the Company or one of its subsidiaries; (2) the consummation of any transaction (including, without limitation, any merger or consolidation) the result of which is that any “person” (as such term is used in Section 13(d)(3) of the Exchange Act) becomes the beneficial owner (subject to the exclusions from beneficial ownership as set forth in the Company’s Articles of Restatement, as amended (“Charter”)), directly or indirectly, of more than 50% of the combined voting power of all of the Company’s capital stock after giving effect to the automatic conversion of Common Stock Non-Voting into Common Stock as provided in the Company’s Charter; or (3) during any period of 12 consecutive months, the first day on which a majority of the members of the Company’s Board of Directors (other than vacant seats) are not Continuing Directors.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Company’s Board of Directors who (1) was a member of such Board of Directors on the first day of the 12-month period referred to in clause (3) of the definition of “Change of Control”; (2) was nominated for election or elected to such Board of Directors with the approval of individuals referred to in clause (1) above constituting at the time of such election or nomination at least a majority of the Board of Directors; or (3) was nominated for election or elected to such Board of Directors with the approval of individuals referred to in clauses (1) or (2) above constituting at the time of such election or nomination at least a majority of the Board of Directors (either by a specific vote or by approval of the Company’s proxy statement in which such member was named as a nominee for election as a director, without objection to such nomination).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Grade Rating” means a rating equal to or higher than Baa3 (or the equivalent) by Moody’s and BBB- (or the equivalent) by S&amp;P.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means Moody’s Investors Service, Inc., and any successor to its rating agency business.</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“Rating Agencies” means (1) each of Moody’s and S&amp;P; and (2) if either of Moody’s or S&amp;P ceases to rate this Security or fails to make a rating of this Security publicly available for reasons outside of the Company’s control, a “nationally recognized statistical rating organization” within the meaning of Section 3(a)(62) of the Exchange Act, selected by the Company (as certified by a resolution of the Company’s Board of Directors) as a replacement agency for Moody’s or S&amp;P, or both of them,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any successor to its rating agency business.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Discount Securities</w:t>
      </w:r>
      <w:r>
        <w:rPr>
          <w:rFonts w:ascii="Times New Roman" w:cs="Times New Roman" w:eastAsia="Times New Roman" w:hAnsi="Times New Roman"/>
          <w:sz w:val="18"/>
          <w:szCs w:val="18"/>
          <w:color w:val="auto"/>
        </w:rPr>
        <w:t>. If this Security (such a Security being referred to as a “Discount Security”) (a) has been issued at an Original Issue Price lower, by more than a de minimis amount (as determined under U.S. federal income tax rules applicable to original issue discount instruments), than the stated redemption price at maturity (as defined below) hereof and (b) would be considered an original issue discount security for U.S. federal income tax purposes, then the amount payable on this Security in the event of redemption by the Company, repayment at the option of the Holder or acceleration of the maturity hereof, in lieu of the principal amount due at the Stated Maturity Date hereof, shall be the Amortized Face Amount (as defined below) of this Security as of the date of such redemption, repayment or acceleration.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“Amortized Face Amount” of this Security shall be the amount equal to the sum of (a) the Issue Price (as set forth on the face hereof) plus (b) the aggregate of the portions of the original issue discount (the excess of the amounts considered as part of the “stated redemption price at maturity” of this Security within the meaning of Section 1273(a)(2) of the Internal Revenue Code of 1986, as amended (the “Code”), whether denominated as principal or interest, over the Issue Price of this Security) which shall theretofore have accrued pursuant to Section 1272 of the Code (without regard to</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Section 1272(a)(7) of the Code) from the date of issue of this Security to the date of determination, minus (c) any amount considered as part of the “stated redemption price at maturity” of this Security which has been paid on this Security from the date of issue to the date of determination.</w:t>
      </w:r>
    </w:p>
    <w:p>
      <w:pPr>
        <w:spacing w:after="0" w:line="1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Modification and Waivers; Obligation of the Company Absolute</w:t>
      </w:r>
      <w:r>
        <w:rPr>
          <w:rFonts w:ascii="Times New Roman" w:cs="Times New Roman" w:eastAsia="Times New Roman" w:hAnsi="Times New Roman"/>
          <w:sz w:val="18"/>
          <w:szCs w:val="18"/>
          <w:color w:val="auto"/>
        </w:rPr>
        <w:t>. The Indenture permits, with certain exceptions as therein provided, the amendment thereof and the modification of the rights and obligations of the Company and the rights of the Holders of the Securities of each series. Such amendment may be effected under the Indenture at any time by the Company and the Trustee with the consent of the Holders of not less than a majority in principal amount of Outstanding Securities of each series affected thereby. The Indenture also contains provisions permitting the Holders of not less than a majority in principal amount of the Outstanding Securities of any series, on behalf of the Holders of all Outstanding Securities of such series, to waive compliance by the Company with certain provisions of the Indenture. Provisions in the Indenture also permit the Holders of not less than a majority in principal amount of all Outstanding Securities of any series to waive on behalf of all of the Holders of Securities of such series certain past defaults under the Indenture and their consequences. Any such consent or waiver shall be conclusive and binding upon the Holder of this Security and upon all future Holders of this Security and of any Security issued upon the registration of transfer hereof or in exchange herefor or in lieu hereof, whether or not notation of such consent or waiver is made upon this Security.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are unsecured and rank pari passu with all other unsecured and unsubordinated indebtedness of the Company.</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if any, on this Security at the times, place and rate, and in the Specified Currency herein prescribed, except as set forth in Section 2 hereof.</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Defeasance and Covenant Defeasance</w:t>
      </w:r>
      <w:r>
        <w:rPr>
          <w:rFonts w:ascii="Times New Roman" w:cs="Times New Roman" w:eastAsia="Times New Roman" w:hAnsi="Times New Roman"/>
          <w:sz w:val="18"/>
          <w:szCs w:val="18"/>
          <w:color w:val="auto"/>
        </w:rPr>
        <w:t>. The Indenture contains provisions for defeasance at any time of (a) the entire indebtedness of the Company on this Security and (b) certain restrictive covenants and the related defaults and Events of Default, upon compliance by the Company with certain conditions set forth therein, which provisions apply to this Security, unless otherwise specified on the face hereof.</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Minimum Denomination; Authorized Denominations</w:t>
      </w:r>
      <w:r>
        <w:rPr>
          <w:rFonts w:ascii="Times New Roman" w:cs="Times New Roman" w:eastAsia="Times New Roman" w:hAnsi="Times New Roman"/>
          <w:sz w:val="18"/>
          <w:szCs w:val="18"/>
          <w:color w:val="auto"/>
        </w:rPr>
        <w:t>. Unless otherwise provided on the face hereof, this Security is issuable only in registered form without coupons in denominations of $2,000 or any amount in excess thereof which is an integral multiple of $1,000. If this Security is denominated in a Specified Currency other than U.S. dollars or is a Discount Security, this Security shall be issuable in the denominations set forth on the face hereof.</w:t>
      </w:r>
    </w:p>
    <w:p>
      <w:pPr>
        <w:spacing w:after="0" w:line="180"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Registration of Transfer</w:t>
      </w:r>
      <w:r>
        <w:rPr>
          <w:rFonts w:ascii="Times New Roman" w:cs="Times New Roman" w:eastAsia="Times New Roman" w:hAnsi="Times New Roman"/>
          <w:sz w:val="17"/>
          <w:szCs w:val="17"/>
          <w:color w:val="auto"/>
        </w:rPr>
        <w:t>. As provided in the Indenture and subject to certain limitations herein and therein set forth, the transfer of this Security is registrable in the Security Register upon surrender of this Security for registration of transfer at a Place of Payment for the series of Securities of which this Security forms a part, duly endorsed by, or accompanied by a written instrument of transfer in form satisfactory to the Company and the Security Registrar duly executed by, the Holder hereof or his attorney duly authorized in writing, and thereupon one or more new Securities of this series, of like authorized denominations and for the same aggregate principal amount, will be issued to the designated transferee or transferees.</w:t>
      </w:r>
    </w:p>
    <w:p>
      <w:pPr>
        <w:spacing w:after="0" w:line="1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the registered owner of this Security is the Depository (such a Security being referred to as a “Global Security”), and (i) the Depository is at any time unwilling or unable to continue as depository and a successor depository is not appointed by the Company within 90 days following notice to the Company or (ii) an Event of Default occurs, the Company will issue Securities in certificated form in exchange for this Global Security. In addition, the Company may at any time, and in its sole discretion, determine not to have Securities represented by a Global Security and, in such event, will issue Securities in certificated form in exchange in whole for this Global Security. In any exchange pursuant to this paragraph, the Company will execute, and the Trustee, upon receipt of a Company Order for the authentication and delivery of individual Securities of this series in exchange for this Global Security, will authenticate and deliver individual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of this series in certificated form in an aggregate principal amount equal to the principal amount of this Global Security in exchange herefor. Securities issued in exchange for this Global Security pursuant to this paragraph shall be registered in such names and in such authorized denominations as the Depository, pursuant to instructions from its director in direct participants or otherwise, shall instruct the Trustee. None of the Company, the Trustee, any Paying Agent or the Security Registrar will have any responsibility or liability for any aspect of the records relating to or payments made on account of beneficial ownership interests in this Global Security or for maintaining, supervising or reviewing any records relating to such beneficial ownership interests. For purposes of the Indenture, this Global Security constitutes a Security issued in permanent global form. Securities so issued in certificated form will be issued in denominations of $2,000 (or such other denomination as shall be specified on the face hereof) or any amount in excess thereof which is an integral multiple of $1,000 and will be issued in registered form only, without coupons.</w:t>
      </w:r>
    </w:p>
    <w:p>
      <w:pPr>
        <w:spacing w:after="0" w:line="19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this series of different authorized denominations but otherwise having the same terms and conditions, as requested by the Holder hereof surrendering the same.</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Holder as the owner hereof for all purposes, whether or not this Security be overdue, and none of the Company, the Trustee nor any such agent shall be affected by notice to the contrary.</w:t>
      </w:r>
    </w:p>
    <w:p>
      <w:pPr>
        <w:spacing w:after="0" w:line="176"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If an Event of Default with respect to the Securities of the series of which this Security forms a part shall have occurred and be continuing, the principal of this Security may be declared due and payable in the manner and with the effect provided in the Indenture.</w:t>
      </w:r>
    </w:p>
    <w:p>
      <w:pPr>
        <w:spacing w:after="0" w:line="14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in this Security which are defined in the Indenture and are not otherwise defined herein shall have the meanings assigned to them in the Indenture.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specified on the face hereof, this Security shall be governed by and construed in accordance with the law of the State of New York.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instrument, shall be construed as though they were written out in full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TENCOM</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 tenants in common</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 tenants by the entireties</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JTTEN</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 joint tenants with right of survivorship and not as tenants in common</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UNIF GIFT MIN ACT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CUSTODIAN</w:t>
            </w:r>
          </w:p>
        </w:tc>
      </w:tr>
      <w:tr>
        <w:trPr>
          <w:trHeight w:val="228"/>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xml:space="preserve">(Cust.)                           (Minor)                                  </w:t>
            </w:r>
          </w:p>
        </w:tc>
      </w:tr>
      <w:tr>
        <w:trPr>
          <w:trHeight w:val="387"/>
        </w:trPr>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UNDER UNIFORM GIFTS TO MINORS ACT</w:t>
            </w:r>
          </w:p>
        </w:tc>
      </w:tr>
      <w:tr>
        <w:trPr>
          <w:trHeight w:val="228"/>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FOR VALUE RECEIVED, the undersigned</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hereby sell(s), assign(s) and transfer(s) unto</w:t>
      </w:r>
    </w:p>
    <w:p>
      <w:pPr>
        <w:spacing w:after="0" w:line="247"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PLEASE INSERT SOCIAL SECURITY OR</w:t>
      </w:r>
    </w:p>
    <w:p>
      <w:pPr>
        <w:spacing w:after="0" w:line="27"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871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237490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Security of MCCORMICK &amp; COMPANY, INCORPORATED and all rights thereunder and does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to transfer the said Security on the books of the within-named Company, with full power of substitution in the premises.</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285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NOTICE: The signature to this assignment must correspond with the name as it appears upon the face of the Security in every particular, without alteration or enlargement or any change whatsoever.</w:t>
      </w:r>
    </w:p>
    <w:p>
      <w:pPr>
        <w:spacing w:after="0" w:line="9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260" w:space="720"/>
            <w:col w:w="8040"/>
          </w:cols>
          <w:pgMar w:left="440" w:top="266" w:right="4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173990</wp:posOffset>
            </wp:positionV>
            <wp:extent cx="106299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0629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+1 202 663 6000 (t)</w:t>
      </w:r>
    </w:p>
    <w:p>
      <w:pPr>
        <w:spacing w:after="0" w:line="2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+1 202 663 6363 (f)</w:t>
      </w:r>
    </w:p>
    <w:p>
      <w:pPr>
        <w:spacing w:after="0" w:line="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wilmerhale.com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Schilling Road, Suite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 Valley, MD 21031</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4.150% Notes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for McCormick &amp; Company, Incorporated,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offer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$500,000,000 aggregate principal amount of the Company’s 4.150%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pursuant to an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February 3,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and BofA Securities, Inc., Truist Securities, Inc. and Wells Fargo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as representatives of the several underwriters listed on Schedule A thereto. The Notes will be issued pursuant to an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July 8, 2011, between the Company and U.S. Bank Trust Company, National Association, as successor in interest to U.S.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As such counsel, we have assisted in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the Company’s prospectus supplement dated February 3, 2026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prospectus, dated April 3, 2023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each relating to the Registration Statement on Form S-3 (File No. 333-271070) filed by the Company with the Commission on April 3, 2023. Such Registration Statement, in the form in which it became effective, including any amendment thereto, and the documents incorporated by reference therein and the information deemed to be a part of the Registration Statement at the time of effectiveness pursuant to Rule 430B under the Securities Act,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have examined and relied upon (i) corporate or other proceedings of the Company regarding the authorization of the execution and delivery of the Indenture, the Underwriting Agreement and the issuance of the Notes, (ii) the Registration Statement, (iii) the Base Prospectus, (iv) the Prospectus Supplement, (v) the Underwriting Agreement and (vi) the Indenture. We have also examined and relied upon originals or copies, certified or otherwise identified to our satisfaction, of such other corporate records of the Company, such other agreements and instruments, certificates of public officials, officers of the Company and other persons, and such other documents, instruments and certificates as we have deemed necessary as a basis for the opinions hereinafter expressed.</w:t>
      </w:r>
    </w:p>
    <w:p>
      <w:pPr>
        <w:spacing w:after="0" w:line="187" w:lineRule="exact"/>
        <w:rPr>
          <w:sz w:val="20"/>
          <w:szCs w:val="20"/>
          <w:color w:val="auto"/>
        </w:rPr>
      </w:pPr>
    </w:p>
    <w:p>
      <w:pPr>
        <w:ind w:right="260" w:firstLine="440"/>
        <w:spacing w:after="0" w:line="289" w:lineRule="auto"/>
        <w:rPr>
          <w:sz w:val="20"/>
          <w:szCs w:val="20"/>
          <w:color w:val="auto"/>
        </w:rPr>
      </w:pPr>
      <w:r>
        <w:rPr>
          <w:rFonts w:ascii="Times New Roman" w:cs="Times New Roman" w:eastAsia="Times New Roman" w:hAnsi="Times New Roman"/>
          <w:sz w:val="17"/>
          <w:szCs w:val="17"/>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records of the Company provided to us by the Company.</w:t>
      </w:r>
    </w:p>
    <w:p>
      <w:pPr>
        <w:spacing w:after="0" w:line="15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rendering the opinions set forth below, we have relied as to certain matters on information from public officials and officers of the Company, and we have assumed for purposes of our opinions below that (i) the Trustee has the power, corporate or other, to enter into and perform its obligations under the Indenture, (ii) the Indenture will be a valid and binding obligation of the Trustee and (iii) the Trustee shall have been qualified under the Trust Indenture Act of 1939, as amended. We have also assumed the due authentication of the Notes by the Trustee, and that at the time of the issuance and sale of the Notes, the Board of Directors of the Company has not taken any action to rescind or otherwise reduce its prior authorization of the issuance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87630</wp:posOffset>
            </wp:positionV>
            <wp:extent cx="5186045" cy="351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186045" cy="3511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McCormick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of the Indenture or the Notes or, if any such authorization, approval, consent, action, notice or filing is required, it will have been duly obtained, taken, given or made and will be in full force and effect.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and secured parties generally, (ii) statutory or decisional law concerning recourse by creditors to security in the absence of notice or hearing, (iii) duties and standards imposed on creditors and parties to contracts, including, without limitation, requirements of materiality, good faith, reasonableness and fair dealing, and (iv) general equitable principles. Furthermore, we express no opinion as to the availability of any equitable or specific remedy upon any breach of the Indenture or the Notes,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Maryland General Corporation Law statute.</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76"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On the basis of, and subject to, the foregoing, we are of the opinion that when (i) the Notes have been duly authenticated by the Trustee in accordance with the terms of the Indenture, and (ii) the Notes have been delivered to the purchasers thereof against payment of the consideration therefor in accordance with the terms of the Underwriting Agreement as duly approved by the Company, the Notes will constitute valid and binding obligations of the Company, enforceable against the Company, in accordance with their terms.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that might affect any matters or opinions set forth herein.</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Company’s Current Report on Form 8-K to be filed on or about February 5, 2026, which Form 8-K will be incorporated by reference into the Registration Statement, and to the use of our name therein and in the related Base Prospectus and Prospectus Supplement under the caption “Legal Matters.” In giving such consent, we do not hereby admit that we are in the category of persons whose consent is required under Section 7 of the Securities Act of 1933, as amended, or the rules and regulations of the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lvl w:ilvl="1">
      <w:lvlJc w:val="left"/>
      <w:lvlText w:val="(%2)"/>
      <w:numFmt w:val="decimal"/>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5"/>
    </w:lvl>
  </w:abstractNum>
  <w:abstractNum w:abstractNumId="4">
    <w:nsid w:val="721DA317"/>
    <w:multiLevelType w:val="hybridMultilevel"/>
    <w:lvl w:ilvl="0">
      <w:lvlJc w:val="left"/>
      <w:lvlText w:val="%1"/>
      <w:numFmt w:val="upperLetter"/>
      <w:start w:val="1"/>
    </w:lvl>
    <w:lvl w:ilvl="1">
      <w:lvlJc w:val="left"/>
      <w:lvlText w:val="(%2)"/>
      <w:numFmt w:val="decimal"/>
      <w:start w:val="7"/>
    </w:lvl>
  </w:abstractNum>
  <w:abstractNum w:abstractNumId="5">
    <w:nsid w:val="2443A858"/>
    <w:multiLevelType w:val="hybridMultilevel"/>
    <w:lvl w:ilvl="0">
      <w:lvlJc w:val="left"/>
      <w:lvlText w:val="(%1)"/>
      <w:numFmt w:val="upperLetter"/>
      <w:start w:val="3"/>
    </w:lvl>
    <w:lvl w:ilvl="1">
      <w:lvlJc w:val="left"/>
      <w:lvlText w:val="(%2)"/>
      <w:numFmt w:val="decimal"/>
      <w:start w:val="11"/>
    </w:lvl>
  </w:abstractNum>
  <w:abstractNum w:abstractNumId="6">
    <w:nsid w:val="2D1D5AE9"/>
    <w:multiLevelType w:val="hybridMultilevel"/>
    <w:lvl w:ilvl="0">
      <w:lvlJc w:val="left"/>
      <w:lvlText w:val="(%1)"/>
      <w:numFmt w:val="decimal"/>
      <w:start w:val="13"/>
    </w:lvl>
  </w:abstractNum>
  <w:abstractNum w:abstractNumId="7">
    <w:nsid w:val="6763845E"/>
    <w:multiLevelType w:val="hybridMultilevel"/>
    <w:lvl w:ilvl="0">
      <w:lvlJc w:val="left"/>
      <w:lvlText w:val="(%1)"/>
      <w:numFmt w:val="decimal"/>
      <w:start w:val="20"/>
    </w:lvl>
  </w:abstractNum>
  <w:abstractNum w:abstractNumId="8">
    <w:nsid w:val="75A2A8D4"/>
    <w:multiLevelType w:val="hybridMultilevel"/>
    <w:lvl w:ilvl="0">
      <w:lvlJc w:val="left"/>
      <w:lvlText w:val="(%1)"/>
      <w:numFmt w:val="decimal"/>
      <w:start w:val="25"/>
    </w:lvl>
  </w:abstractNum>
  <w:abstractNum w:abstractNumId="9">
    <w:nsid w:val="8EDBDAB"/>
    <w:multiLevelType w:val="hybridMultilevel"/>
    <w:lvl w:ilvl="0">
      <w:lvlJc w:val="left"/>
      <w:lvlText w:val="%1"/>
      <w:numFmt w:val="lowerRoman"/>
      <w:start w:val="1"/>
    </w:lvl>
    <w:lvl w:ilvl="1">
      <w:lvlJc w:val="left"/>
      <w:lvlText w:val="(%2)"/>
      <w:numFmt w:val="decimal"/>
      <w:start w:val="30"/>
    </w:lvl>
  </w:abstractNum>
  <w:abstractNum w:abstractNumId="10">
    <w:nsid w:val="79838CB2"/>
    <w:multiLevelType w:val="hybridMultilevel"/>
    <w:lvl w:ilvl="0">
      <w:lvlJc w:val="left"/>
      <w:lvlText w:val="(%1)"/>
      <w:numFmt w:val="lowerRoman"/>
      <w:start w:val="3"/>
    </w:lvl>
    <w:lvl w:ilvl="1">
      <w:lvlJc w:val="left"/>
      <w:lvlText w:val="(%2)"/>
      <w:numFmt w:val="decimal"/>
      <w:start w:val="33"/>
    </w:lvl>
  </w:abstractNum>
  <w:abstractNum w:abstractNumId="11">
    <w:nsid w:val="4353D0C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5"/>
    </w:lvl>
  </w:abstractNum>
  <w:abstractNum w:abstractNumId="12">
    <w:nsid w:val="B03E0C6"/>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37"/>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2"/>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3"/>
    </w:lvl>
  </w:abstractNum>
  <w:abstractNum w:abstractNumId="17">
    <w:nsid w:val="836C40E"/>
    <w:multiLevelType w:val="hybridMultilevel"/>
    <w:lvl w:ilvl="0">
      <w:lvlJc w:val="left"/>
      <w:lvlText w:val="(%1)"/>
      <w:numFmt w:val="lowerLetter"/>
      <w:start w:val="8"/>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Roman"/>
      <w:start w:val="1"/>
    </w:lvl>
    <w:lvl w:ilvl="1">
      <w:lvlJc w:val="left"/>
      <w:lvlText w:val="(%2)"/>
      <w:numFmt w:val="lowerLetter"/>
      <w:start w:val="1"/>
    </w:lvl>
  </w:abstractNum>
  <w:abstractNum w:abstractNumId="20">
    <w:nsid w:val="8138641"/>
    <w:multiLevelType w:val="hybridMultilevel"/>
    <w:lvl w:ilvl="0">
      <w:lvlJc w:val="left"/>
      <w:lvlText w:val="(%1)"/>
      <w:numFmt w:val="lowerRoman"/>
      <w:start w:val="4"/>
    </w:lvl>
    <w:lvl w:ilvl="1">
      <w:lvlJc w:val="left"/>
      <w:lvlText w:val="(%2)"/>
      <w:numFmt w:val="lowerLetter"/>
      <w:start w:val="2"/>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8"/>
    </w:lvl>
  </w:abstractNum>
  <w:abstractNum w:abstractNumId="23">
    <w:nsid w:val="737B8DDC"/>
    <w:multiLevelType w:val="hybridMultilevel"/>
    <w:lvl w:ilvl="0">
      <w:lvlJc w:val="left"/>
      <w:lvlText w:val="(%1)"/>
      <w:numFmt w:val="lowerLetter"/>
      <w:start w:val="1"/>
    </w:lvl>
    <w:lvl w:ilvl="1">
      <w:lvlJc w:val="left"/>
      <w:lvlText w:val="(%2)"/>
      <w:numFmt w:val="decimal"/>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lowerRoman"/>
      <w:start w:val="2"/>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6"/>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19" Type="http://schemas.openxmlformats.org/officeDocument/2006/relationships/hyperlink" Target="http://www.sec.gov/Archives/edgar/data/63754/00011931251118509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2026-02-05T15:25:19Z</dcterms:created>
  <dcterms:modified xsi:type="dcterms:W3CDTF">2026-02-05T15:25:19Z</dcterms:modified>
</cp:coreProperties>
</file>