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kcv-425_072326.htm"/>
      <w:bookmarkStart w:id="1" w:name="ksmkcv425_072326"/>
      <w:bookmarkEnd w:id="0"/>
      <w:bookmarkEnd w:id="1"/>
      <w:r>
        <w:rPr/>
        <w:t> </w:t>
      </w:r>
    </w:p>
    <w:tbl>
      <w:tblPr>
        <w:tblW w:w="7760" w:type="dxa"/>
        <w:jc w:val="left"/>
        <w:tblInd w:w="0" w:type="dxa"/>
        <w:tblLayout w:type="fixed"/>
        <w:tblCellMar>
          <w:top w:w="0" w:type="dxa"/>
          <w:left w:w="0" w:type="dxa"/>
          <w:bottom w:w="0" w:type="dxa"/>
          <w:right w:w="0" w:type="dxa"/>
        </w:tblCellMar>
      </w:tblPr>
      <w:tblGrid>
        <w:gridCol w:w="75"/>
        <w:gridCol w:w="7685"/>
      </w:tblGrid>
      <w:tr>
        <w:trPr/>
        <w:tc>
          <w:tcPr>
            <w:tcW w:w="75"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McCormick &amp; Company, Incorporated</w:t>
            </w:r>
          </w:p>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 as amended</w:t>
            </w:r>
          </w:p>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of the Securities Exchange Act of 1934, as amended</w:t>
            </w:r>
          </w:p>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Unilever PLC</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001-04546)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94690" cy="5943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4690" cy="59436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McCormick &amp; Co., Inc.</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24 Schilling Road, Suite 1 </w:t>
        <w:br/>
        <w:t>Hunt Valley, MD 21031</w:t>
      </w:r>
    </w:p>
    <w:p>
      <w:pPr>
        <w:pStyle w:val="TextBody"/>
        <w:bidi w:val="0"/>
        <w:ind w:left="220" w:right="22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139" w:after="139"/>
        <w:ind w:left="139" w:right="13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w:t>
      </w:r>
    </w:p>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marks an important milestone in our planning for the combination with Unilever Foods, and I wanted to share the highlights with you directly.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today, we announced the planned operating model, Executive Team, and secondary listing location for the combined company. These changes would become effective following the closing of the transaction, which is expected by mid-2027, subject to shareholder approval, required regulatory approvals, and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decisions are important because they define how we intend to lead the combined business, serve customers around the world, and begin preparing to deliver the value we see in this combination. I have summarized the key points below, and the full announcement is available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Model</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We plan to evolve our Consumer and Flavor Solutions segments into four commercial divisions, giving the combined company greater focus and scale as a global leader in flavor.</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b/>
              </w:rPr>
              <w:t>Americas Consumer</w:t>
            </w:r>
            <w:r>
              <w:rPr/>
              <w:t xml:space="preserve"> will have approximately $8 billion</w:t>
            </w:r>
            <w:r>
              <w:rPr>
                <w:position w:val="8"/>
                <w:sz w:val="19"/>
              </w:rPr>
              <w:t>1</w:t>
            </w:r>
            <w:r>
              <w:rPr/>
              <w:t xml:space="preserve"> in annual sales of spices, seasonings, cooking aids, condiments, and sauces across North, Central, and South America</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b/>
              </w:rPr>
              <w:t xml:space="preserve">International Consumer </w:t>
            </w:r>
            <w:r>
              <w:rPr/>
              <w:t>will have approximately $7 billion</w:t>
            </w:r>
            <w:r>
              <w:rPr>
                <w:position w:val="8"/>
                <w:sz w:val="19"/>
              </w:rPr>
              <w:t>1</w:t>
            </w:r>
            <w:r>
              <w:rPr/>
              <w:t xml:space="preserve"> in annual sales of spices, seasonings, cooking aids, condiments, and sauces across the rest of the world, including the EMEA and APAC regions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b/>
              </w:rPr>
              <w:t>Global Food Service</w:t>
            </w:r>
            <w:r>
              <w:rPr/>
              <w:t xml:space="preserve"> will have approximately $4 billion</w:t>
            </w:r>
            <w:r>
              <w:rPr>
                <w:position w:val="8"/>
                <w:sz w:val="19"/>
              </w:rPr>
              <w:t>1</w:t>
            </w:r>
            <w:r>
              <w:rPr/>
              <w:t xml:space="preserve"> in annual sales and provide a wide range of flavor products to operators of restaurants and in other away-from-home channels.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b/>
              </w:rPr>
              <w:t xml:space="preserve">Global Flavor </w:t>
            </w:r>
            <w:r>
              <w:rPr/>
              <w:t>will have approximately $2.5 billion</w:t>
            </w:r>
            <w:r>
              <w:rPr>
                <w:position w:val="8"/>
                <w:sz w:val="19"/>
              </w:rPr>
              <w:t>1</w:t>
            </w:r>
            <w:r>
              <w:rPr/>
              <w:t xml:space="preserve"> in annual sales and provide customized specialty flavors, seasonings, condiments, and coatings to global food, beverage, and consumer health companies, as well as restaurant chains.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commercial divisions will be supported by robust corporate functions, organized for growth, scale, and disciplined execution.</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t>___________________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Combined sales figure represents McCormick’s net sales for the fiscal year ended November 30, 2025, and Unilever Foods based on 2025 preliminary carve-out financial information, prepared under IFRS and translated from EUR to USD at the Unilever 2025 average rate of ($1.124:€1.00). FY25 reflects McCormick’s business including McCormick de Mexico and Unilever Foods’ business excluding business in India, Nepal and Portugal; its Lifestyle &amp; Nutrition business; its Buavita business; and its Lipton Ready-to-Drink business (together, “Excluded Businesses”). Unilever Foods' sales and other metrics are based on management estimates.</w:t>
      </w:r>
    </w:p>
    <w:p>
      <w:pPr>
        <w:pStyle w:val="TextBody"/>
        <w:bidi w:val="0"/>
        <w:spacing w:before="0" w:after="0"/>
        <w:ind w:left="72" w:right="1224" w:hanging="0"/>
        <w:jc w:val="left"/>
        <w:rPr>
          <w:caps w:val="false"/>
          <w:smallCaps w:val="false"/>
        </w:rPr>
      </w:pPr>
      <w:r>
        <w:rPr>
          <w:caps w:val="false"/>
          <w:smallCaps w:val="false"/>
        </w:rPr>
        <w:t> </w:t>
      </w:r>
    </w:p>
    <w:p>
      <w:pPr>
        <w:pStyle w:val="TextBody"/>
        <w:bidi w:val="0"/>
        <w:spacing w:before="0" w:after="0"/>
        <w:ind w:left="72" w:right="122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72" w:right="122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I will continue as Chairman, President and Chief Executive Officer of McCormick, and Marcos Gabriel will remain Executive Vice President and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alignment with the planned new operating model, we have selected a leadership team that spans the commercial divisions and global functions. The team brings together proven leaders from both McCormick and Unilever Foods. It reflects the global scale of the combined company and the capabilities needed to deliver on the opportunities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completion of the combination, it is expected that the following leaders will serve as part of the Executive Team in the following roles: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Division Leaders:</w:t>
      </w:r>
    </w:p>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25"/>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70" w:type="dxa"/>
            <w:tcBorders/>
            <w:vAlign w:val="center"/>
          </w:tcPr>
          <w:p>
            <w:pPr>
              <w:pStyle w:val="TableContents"/>
              <w:bidi w:val="0"/>
              <w:spacing w:before="0" w:after="283"/>
              <w:jc w:val="left"/>
              <w:rPr/>
            </w:pPr>
            <w:r>
              <w:rPr/>
              <w:t>Andrew Foust, EVP, President Americas Consumer</w:t>
            </w:r>
          </w:p>
        </w:tc>
      </w:tr>
    </w:tbl>
    <w:tbl>
      <w:tblPr>
        <w:tblW w:w="5000" w:type="pct"/>
        <w:jc w:val="left"/>
        <w:tblInd w:w="0" w:type="dxa"/>
        <w:tblLayout w:type="fixed"/>
        <w:tblCellMar>
          <w:top w:w="0" w:type="dxa"/>
          <w:left w:w="0" w:type="dxa"/>
          <w:bottom w:w="0" w:type="dxa"/>
          <w:right w:w="0" w:type="dxa"/>
        </w:tblCellMar>
      </w:tblPr>
      <w:tblGrid>
        <w:gridCol w:w="69"/>
        <w:gridCol w:w="231"/>
        <w:gridCol w:w="9905"/>
      </w:tblGrid>
      <w:tr>
        <w:trPr/>
        <w:tc>
          <w:tcPr>
            <w:tcW w:w="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Symbol" w:hAnsi="Symbol"/>
              </w:rPr>
            </w:pPr>
            <w:r>
              <w:rPr>
                <w:rFonts w:ascii="Symbol" w:hAnsi="Symbol"/>
              </w:rPr>
              <w:t>·</w:t>
            </w:r>
          </w:p>
        </w:tc>
        <w:tc>
          <w:tcPr>
            <w:tcW w:w="9905" w:type="dxa"/>
            <w:tcBorders/>
            <w:vAlign w:val="center"/>
          </w:tcPr>
          <w:p>
            <w:pPr>
              <w:pStyle w:val="TableContents"/>
              <w:bidi w:val="0"/>
              <w:spacing w:before="0" w:after="283"/>
              <w:jc w:val="left"/>
              <w:rPr/>
            </w:pPr>
            <w:r>
              <w:rPr/>
              <w:t>Heiko Schipper, EVP, President International Consumer</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Symbol" w:hAnsi="Symbol"/>
              </w:rPr>
            </w:pPr>
            <w:r>
              <w:rPr>
                <w:rFonts w:ascii="Symbol" w:hAnsi="Symbol"/>
              </w:rPr>
              <w:t>·</w:t>
            </w:r>
          </w:p>
        </w:tc>
        <w:tc>
          <w:tcPr>
            <w:tcW w:w="9900" w:type="dxa"/>
            <w:tcBorders/>
            <w:vAlign w:val="center"/>
          </w:tcPr>
          <w:p>
            <w:pPr>
              <w:pStyle w:val="TableContents"/>
              <w:bidi w:val="0"/>
              <w:spacing w:before="0" w:after="283"/>
              <w:jc w:val="left"/>
              <w:rPr/>
            </w:pPr>
            <w:r>
              <w:rPr/>
              <w:t>Nuria Hernandez, EVP, President Global Food Service</w:t>
            </w:r>
          </w:p>
        </w:tc>
      </w:tr>
    </w:tbl>
    <w:tbl>
      <w:tblPr>
        <w:tblW w:w="5000" w:type="pct"/>
        <w:jc w:val="left"/>
        <w:tblInd w:w="0" w:type="dxa"/>
        <w:tblLayout w:type="fixed"/>
        <w:tblCellMar>
          <w:top w:w="0" w:type="dxa"/>
          <w:left w:w="0" w:type="dxa"/>
          <w:bottom w:w="0" w:type="dxa"/>
          <w:right w:w="0" w:type="dxa"/>
        </w:tblCellMar>
      </w:tblPr>
      <w:tblGrid>
        <w:gridCol w:w="87"/>
        <w:gridCol w:w="288"/>
        <w:gridCol w:w="9830"/>
      </w:tblGrid>
      <w:tr>
        <w:trPr/>
        <w:tc>
          <w:tcPr>
            <w:tcW w:w="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Symbol" w:hAnsi="Symbol"/>
              </w:rPr>
            </w:pPr>
            <w:r>
              <w:rPr>
                <w:rFonts w:ascii="Symbol" w:hAnsi="Symbol"/>
              </w:rPr>
              <w:t>·</w:t>
            </w:r>
          </w:p>
        </w:tc>
        <w:tc>
          <w:tcPr>
            <w:tcW w:w="9830" w:type="dxa"/>
            <w:tcBorders/>
            <w:vAlign w:val="center"/>
          </w:tcPr>
          <w:p>
            <w:pPr>
              <w:pStyle w:val="TableContents"/>
              <w:bidi w:val="0"/>
              <w:spacing w:before="0" w:after="283"/>
              <w:jc w:val="left"/>
              <w:rPr/>
            </w:pPr>
            <w:r>
              <w:rPr/>
              <w:t>Suzanne Roy, EVP, President Global Flavor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 Leaders:</w:t>
      </w:r>
    </w:p>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25"/>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170" w:type="dxa"/>
            <w:tcBorders/>
            <w:vAlign w:val="center"/>
          </w:tcPr>
          <w:p>
            <w:pPr>
              <w:pStyle w:val="TableContents"/>
              <w:bidi w:val="0"/>
              <w:spacing w:before="0" w:after="283"/>
              <w:jc w:val="left"/>
              <w:rPr/>
            </w:pPr>
            <w:r>
              <w:rPr/>
              <w:t>Tabata Gomez, EVP, Chief Growth &amp; Global Marketing Officer</w:t>
            </w:r>
          </w:p>
        </w:tc>
      </w:tr>
    </w:tbl>
    <w:tbl>
      <w:tblPr>
        <w:tblW w:w="5000" w:type="pct"/>
        <w:jc w:val="left"/>
        <w:tblInd w:w="0" w:type="dxa"/>
        <w:tblLayout w:type="fixed"/>
        <w:tblCellMar>
          <w:top w:w="0" w:type="dxa"/>
          <w:left w:w="0" w:type="dxa"/>
          <w:bottom w:w="0" w:type="dxa"/>
          <w:right w:w="0" w:type="dxa"/>
        </w:tblCellMar>
      </w:tblPr>
      <w:tblGrid>
        <w:gridCol w:w="94"/>
        <w:gridCol w:w="311"/>
        <w:gridCol w:w="9800"/>
      </w:tblGrid>
      <w:tr>
        <w:trPr/>
        <w:tc>
          <w:tcPr>
            <w:tcW w:w="9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Symbol" w:hAnsi="Symbol"/>
              </w:rPr>
            </w:pPr>
            <w:r>
              <w:rPr>
                <w:rFonts w:ascii="Symbol" w:hAnsi="Symbol"/>
              </w:rPr>
              <w:t>·</w:t>
            </w:r>
          </w:p>
        </w:tc>
        <w:tc>
          <w:tcPr>
            <w:tcW w:w="9800" w:type="dxa"/>
            <w:tcBorders/>
            <w:vAlign w:val="center"/>
          </w:tcPr>
          <w:p>
            <w:pPr>
              <w:pStyle w:val="TableContents"/>
              <w:bidi w:val="0"/>
              <w:spacing w:before="0" w:after="283"/>
              <w:jc w:val="left"/>
              <w:rPr/>
            </w:pPr>
            <w:r>
              <w:rPr/>
              <w:t>Heike Steiling, EVP, Chief R&amp;D Officer</w:t>
            </w:r>
          </w:p>
        </w:tc>
      </w:tr>
    </w:tbl>
    <w:tbl>
      <w:tblPr>
        <w:tblW w:w="5000" w:type="pct"/>
        <w:jc w:val="left"/>
        <w:tblInd w:w="0" w:type="dxa"/>
        <w:tblLayout w:type="fixed"/>
        <w:tblCellMar>
          <w:top w:w="0" w:type="dxa"/>
          <w:left w:w="0" w:type="dxa"/>
          <w:bottom w:w="0" w:type="dxa"/>
          <w:right w:w="0" w:type="dxa"/>
        </w:tblCellMar>
      </w:tblPr>
      <w:tblGrid>
        <w:gridCol w:w="81"/>
        <w:gridCol w:w="269"/>
        <w:gridCol w:w="9855"/>
      </w:tblGrid>
      <w:tr>
        <w:trPr/>
        <w:tc>
          <w:tcPr>
            <w:tcW w:w="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Symbol" w:hAnsi="Symbol"/>
              </w:rPr>
            </w:pPr>
            <w:r>
              <w:rPr>
                <w:rFonts w:ascii="Symbol" w:hAnsi="Symbol"/>
              </w:rPr>
              <w:t>·</w:t>
            </w:r>
          </w:p>
        </w:tc>
        <w:tc>
          <w:tcPr>
            <w:tcW w:w="9855" w:type="dxa"/>
            <w:tcBorders/>
            <w:vAlign w:val="center"/>
          </w:tcPr>
          <w:p>
            <w:pPr>
              <w:pStyle w:val="TableContents"/>
              <w:bidi w:val="0"/>
              <w:spacing w:before="0" w:after="283"/>
              <w:jc w:val="left"/>
              <w:rPr/>
            </w:pPr>
            <w:r>
              <w:rPr/>
              <w:t>Jennifer Han, EVP, Chief Supply Chain Officer</w:t>
            </w:r>
          </w:p>
        </w:tc>
      </w:tr>
    </w:tbl>
    <w:tbl>
      <w:tblPr>
        <w:tblW w:w="5000" w:type="pct"/>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Symbol" w:hAnsi="Symbol"/>
              </w:rPr>
            </w:pPr>
            <w:r>
              <w:rPr>
                <w:rFonts w:ascii="Symbol" w:hAnsi="Symbol"/>
              </w:rPr>
              <w:t>·</w:t>
            </w:r>
          </w:p>
        </w:tc>
        <w:tc>
          <w:tcPr>
            <w:tcW w:w="9882" w:type="dxa"/>
            <w:tcBorders/>
            <w:vAlign w:val="center"/>
          </w:tcPr>
          <w:p>
            <w:pPr>
              <w:pStyle w:val="TableContents"/>
              <w:bidi w:val="0"/>
              <w:spacing w:before="0" w:after="283"/>
              <w:jc w:val="left"/>
              <w:rPr/>
            </w:pPr>
            <w:r>
              <w:rPr/>
              <w:t>Guy Peri, EVP, Chief Information &amp; Digital Officer</w:t>
            </w:r>
          </w:p>
        </w:tc>
      </w:tr>
    </w:tbl>
    <w:tbl>
      <w:tblPr>
        <w:tblW w:w="5000" w:type="pct"/>
        <w:jc w:val="left"/>
        <w:tblInd w:w="0" w:type="dxa"/>
        <w:tblLayout w:type="fixed"/>
        <w:tblCellMar>
          <w:top w:w="0" w:type="dxa"/>
          <w:left w:w="0" w:type="dxa"/>
          <w:bottom w:w="0" w:type="dxa"/>
          <w:right w:w="0" w:type="dxa"/>
        </w:tblCellMar>
      </w:tblPr>
      <w:tblGrid>
        <w:gridCol w:w="95"/>
        <w:gridCol w:w="315"/>
        <w:gridCol w:w="9795"/>
      </w:tblGrid>
      <w:tr>
        <w:trPr/>
        <w:tc>
          <w:tcPr>
            <w:tcW w:w="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Symbol" w:hAnsi="Symbol"/>
              </w:rPr>
            </w:pPr>
            <w:r>
              <w:rPr>
                <w:rFonts w:ascii="Symbol" w:hAnsi="Symbol"/>
              </w:rPr>
              <w:t>·</w:t>
            </w:r>
          </w:p>
        </w:tc>
        <w:tc>
          <w:tcPr>
            <w:tcW w:w="9795" w:type="dxa"/>
            <w:tcBorders/>
            <w:vAlign w:val="center"/>
          </w:tcPr>
          <w:p>
            <w:pPr>
              <w:pStyle w:val="TableContents"/>
              <w:bidi w:val="0"/>
              <w:spacing w:before="0" w:after="283"/>
              <w:jc w:val="left"/>
              <w:rPr/>
            </w:pPr>
            <w:r>
              <w:rPr/>
              <w:t>Jeff Schwartz, EVP, Chief Legal Officer</w:t>
            </w:r>
          </w:p>
        </w:tc>
      </w:tr>
    </w:tbl>
    <w:tbl>
      <w:tblPr>
        <w:tblW w:w="5000" w:type="pct"/>
        <w:jc w:val="left"/>
        <w:tblInd w:w="0" w:type="dxa"/>
        <w:tblLayout w:type="fixed"/>
        <w:tblCellMar>
          <w:top w:w="0" w:type="dxa"/>
          <w:left w:w="0" w:type="dxa"/>
          <w:bottom w:w="0" w:type="dxa"/>
          <w:right w:w="0" w:type="dxa"/>
        </w:tblCellMar>
      </w:tblPr>
      <w:tblGrid>
        <w:gridCol w:w="76"/>
        <w:gridCol w:w="252"/>
        <w:gridCol w:w="9877"/>
      </w:tblGrid>
      <w:tr>
        <w:trPr/>
        <w:tc>
          <w:tcPr>
            <w:tcW w:w="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Symbol" w:hAnsi="Symbol"/>
              </w:rPr>
            </w:pPr>
            <w:r>
              <w:rPr>
                <w:rFonts w:ascii="Symbol" w:hAnsi="Symbol"/>
              </w:rPr>
              <w:t>·</w:t>
            </w:r>
          </w:p>
        </w:tc>
        <w:tc>
          <w:tcPr>
            <w:tcW w:w="9877" w:type="dxa"/>
            <w:tcBorders/>
            <w:vAlign w:val="center"/>
          </w:tcPr>
          <w:p>
            <w:pPr>
              <w:pStyle w:val="TableContents"/>
              <w:bidi w:val="0"/>
              <w:spacing w:before="0" w:after="283"/>
              <w:jc w:val="left"/>
              <w:rPr/>
            </w:pPr>
            <w:r>
              <w:rPr/>
              <w:t>Sarah Piper, EVP, Chief Human Resources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on each member can be found on our website globalflavorleader.com</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Secondary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complement our existing New York Stock Exchange (NYSE) listing and reinforce the global nature of the combined operations, we intend to apply for a secondary listing of McCormick’s shares on the London Stock Exchange. McCormick’s primary stock listing will remain on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Headquarters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to support its non-U.S. business, the combined company will also have an International Headquarters and maintain a substantial presence in the Netherlands, where Unilever Foods has long-standing operations and world-class R&amp;D capabilities. Importantly, our Global Headquarters will remain in Hunt Valley, Maryland.</w:t>
      </w:r>
    </w:p>
    <w:p>
      <w:pPr>
        <w:pStyle w:val="TextBody"/>
        <w:bidi w:val="0"/>
        <w:spacing w:before="0" w:after="0"/>
        <w:ind w:left="72" w:right="1224"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139" w:after="139"/>
        <w:ind w:left="72" w:right="122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 Steps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committed to keeping you informed as integration plans progress. I expect to share additional details on revenue and cost synergies, as well as the scope of the Transition Service Agreements (TSAs), by the end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always, thank you for your continued support of McCormick.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ind w:left="206" w:right="206" w:hanging="0"/>
        <w:jc w:val="left"/>
        <w:rPr/>
      </w:pPr>
      <w:r>
        <w:rPr/>
        <w:drawing>
          <wp:inline distT="0" distB="0" distL="0" distR="0">
            <wp:extent cx="161925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6286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Brendan Foley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CEO</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McCormick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document that are not statements of historical or current fact constitute “forward-looking statements” within the meaning of Section 21E of the Securities Exchange Act of 1934. These statements may be identified by the use of words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can be made in writing but also may be made verbally by directors, officers and employees of McCormick. The forward-looking statements contained in this document include, without limitation, the anticipated benefits of, and our plans, strategies and objectives relating to, the pending transaction with Unilever Foods.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forward-looking statements are based on management’s current views and assumptions. They are not historical facts, nor are they guarantees of future performance or outcomes. Many risks, uncertainties and other factors could cause actual future events to differ materially from the forward-looking statements in this communication, including, but not limited to: (i)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(ii) the failure to obtain necessary regulatory approvals, approval of our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(iii) the risk that the proposed transaction may not be completed on the terms or in the time frame expected by the parties, or at all; (iv) direct transaction costs and substantial transition and integration-related costs associated with the proposed transaction with Unilever Foods; (v)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(vi)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(vii) uncertainties as to McCormick’s access to available financing to consummate the transaction upon acceptable terms and on a timely basis or at all; (viii) the failure to obtain the effectiveness of the registration statements for the transaction or receipt of McCormick shareholder approval for the transaction and certain related matters; (ix) the risk that combined company financial information relating to the transaction, including anticipated combined company revenues, earnings, cash flows, capital expenditures, indebtedness and other financial metrics of the combined company; (x) the risk that the anticipated ownership percentages of McCormick shareholders, Unilever shareholders and Unilever following the closing of the transaction may differ from those expected; (xi)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(xii) the ability of McCormick to successfully integrate Unilever Foods’ operations and implement its plans, forecasts and other expectations with respect to Unilever Foods’ business or the combined business after the closing of the transaction; (xiii) the ability of McCormick to manage additional debt and successfully de-lever following the transaction; and (xiv) the outcome of any legal proceedings that may be instituted against Unilever Foods or McCormick related to the transaction; and other risks described in the company’s filings with the Securities and Exchange Commission (“SEC”), including McCormick’s Annual Report on Form 10-K for the year ended November 30, 2025 and Quarterly Report on Form 10-Q for the quarter ended February 28, 2026. 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Unilever 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contain forward-looking statements within the meaning of the securities laws of certain jurisdictions, including ‘forward-looking statements’ within the meaning of the United States Private Securities Litigation Reform Act of 1995. All statements other than statements of historical fact are, or may be deemed to be, forward-looking statements. Words and terminology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also include, but are not limited to, statements and information regarding the pending transaction of Unilever Foods with McCormick. Forward-looking statements can be made in writing but also may be made verbally by directors, officers and employees of the Unilever Group. These forward-looking statements are based upon current expectations and assumptions regarding anticipated developments and other factors affecting the Unilever Group. They are not historical facts, nor are they guarantees of future performance or outcomes. All forward-looking statements contained in this announcement are expressly qualified in their entirety by the cautionary statements contained in this section. Readers should not place undue reliance on forward-looking statements. Because these forward-looking statements involve known and unknown risks and uncertainties, a number of which may be beyond the Unilever Group’s control, there are important factors that could cause actual results to differ materially from those expressed or implied by these forward-looking statements. Among other risks and uncertainties, the material or principal factors which could cause actual results to differ materially from the forward-looking statements expressed in this announcement are: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the failure to obtain necessary regulatory approvals, approval of McCormick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the risk that the proposed transaction may not be completed on the terms or in the time frame expected by the parties, or at all; direct transaction costs and substantial transition and integration-related costs associated with the proposed transaction with Unilever Foods;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the risk that the anticipated ownership percentages of McCormick shareholders, Unilever shareholders and Unilever following the closing of the transaction may differ from those expected,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uncertainties as to McCormick’s access to available financing to consummate the transaction upon acceptable terms and on a timely basis or at all, the failure to obtain the effectiveness of the registration statements for the transaction or receipt of McCormick shareholder approval for the transaction and certain related matters,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the ability of McCormick to successfully integrate Unilever Foods’ operations and implement its plans, forecasts and other expectations with respect to Unilever Foods’ business or the combined business after the closing of the transaction; the ability of McCormick to manage additional debt and successfully de-lever following the transaction; the outcome of any legal proceedings that may be instituted against Unilever Foods or McCormick related to the transaction; Unilever' ability to innovate and remain competitive; Unilever' investment choices in its portfolio management; the effect of climate change on Unilever' business; Unilever' ability to find sustainable solutions to its plastic packaging; significant changes or deterioration in customer relationships; the recruitment and retention of talented employees; disruptions in Unilever' supply chain and distribution; increases or volatility in the cost of raw materials and commodities; the production of safe and high-quality products; secure and reliable IT infrastructure; execution of acquisitions, divestitures and business transformation projects; economic, social and political risks and natural disasters; financial risks; failure to meet high and ethical standards; and managing regulatory, tax and legal matters and practices with regard to the interpretation and application thereof and emerging and developing ESG reporting standards including differences in implementation of climate and sustainability policies in the regions where the Unilever Group operates. Risk with respect to McCormick are further described in its filings with the US Securities and Exchange Commission (“SEC”), including McCormick’s Annual Report on Form 10-K for the year ended November 30, 2025 and Quarterly Report on Form 10-Q for the quarter ended February 28, 2026. The forward-looking statements are based on our beliefs, assumptions and expectations of our future performance, taking into account all information currently available to us. Forward-looking statements are not predictions of future events. These beliefs, assumptions and expectations can change as a result of many possible events or factors, not all of which are known to us. If a change occurs, our business, financial condition, liquidity and results of operations may vary materially from those expressed in our forward-looking statements. The forward-looking statements speak only as of the date of this announcement. Except as required by any applicable law or regulation, the Unilever Group expressly disclaims any intention, obligation or undertaking to release publicly any updates or revisions to any forward-looking statements contained herein to reflect any change in the Unilever Group’s expectations with regard thereto or any change in events, conditions or circumstances on which any such statement is based. New risks and uncertainties arise over time, and it is not possible for us to predict those events or how they may affect us. In addition, we cannot assess the impact of each factor on our business or the extent to which any factor, or combination of factors, may cause actual events, to differ materially from those contained in any forward-looking statements. Further details of potential risks and uncertainties affecting the Unilever Group are described in the Unilever Group’s filings with the London Stock Exchange, Euronext Amsterdam and the SEC, including in the Annual Report on Form 20-F 2025 and the Unilever Annual Report and Accounts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relates to a proposed transaction among McCormick, Unilever and Unilever Foods. The parties intend to file relevant materials with the SEC, including, among other filings, a registration statement on Form S-4 to be filed by McCormick with the SEC, which will include a document that serves as a proxy statement/prospectus of McCormick in connection with the anticipated separation of Unilever Foods from Unilever and combination with McCormick, and a registration statement on Form 10 to be filed by Unilever Foods entity that serve as an information statement/prospectus in connection with the spin-off of Unilever Foods from Unilever. Each party will also file other documents regarding the proposed transaction with the SEC. INVESTORS AND SECURITY HOLDERS ARE URGED TO READ THE REGISTRATION STATEMENTS, INFORMATION STATEMENTS, PROXY STATEMENT/PROSPECTUS AND ALL OTHER RELEVANT DOCUMENTS FILED OR THAT WILL BE FILED WITH THE SEC IN CONNECTION WITH THE PROPOSED TRANSACTION, AS WELL AS ANY AMENDMENTS OR SUPPLEMENTS TO THESE DOCUMENTS, CAREFULLY AND IN THEIR ENTIRETY IF AND WHEN THEY BECOME AVAILABLE BECAUSE THEY CONTAIN OR WILL CONTAIN IMPORTANT INFORMATION ABOUT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registration statement, proxy statement/prospectus and all other relevant documents filed or that will be filed with the SEC by McCormick, Unilever Foods or Unilever through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McCormick with the SEC also may be obtained free of charge at McCormick’s website at https://ir.mccormick.com/ or upon written request to McCormick &amp; Company, Incorporated, 24 Schilling Road, Suite 1, Hunt Valley, Maryland 21031, Attention: Investor Relations Department. The documents filed by Unilever Foods or Unilever with the SEC also may be obtained free of charge upon written request to Unilever, Investor Relations Department, 100 Victoria Embankment, London EC4Y 0DY,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McCormick and Unilever and their respective directors and executive officers may be deemed to be participants in the solicitation of proxies from McCormick’s shareholders in connection with the proposed transaction. Information about McCormick’s directors and executive officers and their ownership of McCormick’s common stock is set forth in McCormick’s proxy statement for its 2025 Annual Meeting of Shareholders on Schedule 14A filed with the SEC on February 18, 2026. To the extent that holdings of McCormick’s securities have changed since the amounts printed in McCormick’s proxy statement, such changes have been or will be reflected on Statements of Change in Ownership on Form 4 filed with the SEC. Additional information regarding the direct and indirect interests of those persons and other persons who may be deemed participants in the proposed transaction may be obtained by reading the proxy statement/prospectus regarding the proposed transaction when it becomes available. Information about the directors and executive officers of Unilever is set forth in its Annual Report on Form 20-F for the year ended December 31, 2025, which was filed with the SEC on March 12, 2026. You may obtain free copies of these documents as described in the preceding paragraph.</w:t>
      </w:r>
    </w:p>
    <w:p>
      <w:pPr>
        <w:pStyle w:val="TextBody"/>
        <w:bidi w:val="0"/>
        <w:ind w:left="220" w:right="22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3485</Words>
  <Characters>20501</Characters>
  <CharactersWithSpaces>23962</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