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27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27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  <w:w w:val="96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  <w:w w:val="96"/>
                </w:rPr>
                <w:t>GOMEZ SADES TABATA</w:t>
              </w:r>
            </w:hyperlink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3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LORENA</w:t>
              </w:r>
            </w:hyperlink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MCCORMICK &amp; CO INC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MKC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30" w:lineRule="exact"/>
        <w:rPr>
          <w:sz w:val="20"/>
          <w:szCs w:val="20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24 SCHILLING ROAD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SUITE 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HUNT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MD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21031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9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VALLEY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3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Growth &amp; Mktg Officer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right="440" w:firstLine="9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04/15/2026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right="480" w:firstLine="9"/>
        <w:spacing w:after="0" w:line="261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60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60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 - Voting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ind w:left="720"/>
              <w:spacing w:after="0" w:line="3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9"/>
                <w:szCs w:val="39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1. Due to an administrative error, the Reporting Person's original Form 3 should have reflected no securities beneficially owned as of April 8, 2026.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Jason E. Wynn,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in-Fact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27799" TargetMode="External"/><Relationship Id="rId11" Type="http://schemas.openxmlformats.org/officeDocument/2006/relationships/hyperlink" Target="http://www.sec.gov/cgi-bin/browse-edgar?action=getcompany&amp;CIK=00000637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2026-06-03T11:22:41Z</dcterms:created>
  <dcterms:modified xsi:type="dcterms:W3CDTF">2026-06-03T11:22:41Z</dcterms:modified>
</cp:coreProperties>
</file>