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2"/>
        </w:rPr>
      </w:pPr>
      <w:r>
        <w:rPr>
          <w:rFonts w:ascii="Times New Roman;serif" w:hAnsi="Times New Roman;serif"/>
          <w:b w:val="false"/>
          <w:color w:val="000000"/>
          <w:sz w:val="22"/>
        </w:rPr>
        <w:t>UNITED STATES</w:t>
      </w:r>
    </w:p>
    <w:p>
      <w:pPr>
        <w:pStyle w:val="TextBody"/>
        <w:bidi w:val="0"/>
        <w:spacing w:lineRule="auto" w:line="312" w:before="0" w:after="160"/>
        <w:jc w:val="center"/>
        <w:rPr>
          <w:rFonts w:ascii="Times New Roman;serif" w:hAnsi="Times New Roman;serif"/>
          <w:b w:val="false"/>
          <w:color w:val="000000"/>
          <w:sz w:val="22"/>
        </w:rPr>
      </w:pPr>
      <w:r>
        <w:rPr>
          <w:rFonts w:ascii="Times New Roman;serif" w:hAnsi="Times New Roman;serif"/>
          <w:b w:val="false"/>
          <w:color w:val="000000"/>
          <w:sz w:val="22"/>
        </w:rPr>
        <w:t>SECURITIES AND EXCHANGE COMMISSION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before="0" w:after="0"/>
        <w:jc w:val="center"/>
        <w:rPr/>
      </w:pPr>
      <w:r>
        <w:rPr/>
      </w:r>
    </w:p>
    <w:tbl>
      <w:tblPr>
        <w:tblW w:w="1260" w:type="dxa"/>
        <w:jc w:val="center"/>
        <w:tblInd w:w="0" w:type="dxa"/>
        <w:tblLayout w:type="fixed"/>
        <w:tblCellMar>
          <w:top w:w="28" w:type="dxa"/>
          <w:left w:w="28" w:type="dxa"/>
          <w:bottom w:w="28" w:type="dxa"/>
          <w:right w:w="28" w:type="dxa"/>
        </w:tblCellMar>
      </w:tblPr>
      <w:tblGrid>
        <w:gridCol w:w="272"/>
        <w:gridCol w:w="239"/>
        <w:gridCol w:w="240"/>
        <w:gridCol w:w="149"/>
        <w:gridCol w:w="149"/>
        <w:gridCol w:w="21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w:t>
            </w:r>
          </w:p>
        </w:tc>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8-K</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w:t>
      </w:r>
    </w:p>
    <w:tbl>
      <w:tblPr>
        <w:tblW w:w="1739" w:type="dxa"/>
        <w:jc w:val="center"/>
        <w:tblInd w:w="0" w:type="dxa"/>
        <w:tblLayout w:type="fixed"/>
        <w:tblCellMar>
          <w:top w:w="28" w:type="dxa"/>
          <w:left w:w="28" w:type="dxa"/>
          <w:bottom w:w="28" w:type="dxa"/>
          <w:right w:w="28" w:type="dxa"/>
        </w:tblCellMar>
      </w:tblPr>
      <w:tblGrid>
        <w:gridCol w:w="556"/>
        <w:gridCol w:w="488"/>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25, 2026</w:t>
            </w:r>
          </w:p>
        </w:tc>
      </w:tr>
    </w:tbl>
    <w:p>
      <w:pPr>
        <w:pStyle w:val="TextBody"/>
        <w:bidi w:val="0"/>
        <w:spacing w:before="0" w:after="0"/>
        <w:jc w:val="center"/>
        <w:rPr/>
      </w:pPr>
      <w:r>
        <w:rPr/>
      </w:r>
    </w:p>
    <w:p>
      <w:pPr>
        <w:pStyle w:val="TextBody"/>
        <w:bidi w:val="0"/>
        <w:spacing w:before="0" w:after="0"/>
        <w:jc w:val="center"/>
        <w:rPr/>
      </w:pPr>
      <w:r>
        <w:rPr/>
      </w:r>
    </w:p>
    <w:tbl>
      <w:tblPr>
        <w:tblW w:w="2264" w:type="dxa"/>
        <w:jc w:val="center"/>
        <w:tblInd w:w="0" w:type="dxa"/>
        <w:tblLayout w:type="fixed"/>
        <w:tblCellMar>
          <w:top w:w="28" w:type="dxa"/>
          <w:left w:w="28" w:type="dxa"/>
          <w:bottom w:w="28" w:type="dxa"/>
          <w:right w:w="28" w:type="dxa"/>
        </w:tblCellMar>
      </w:tblPr>
      <w:tblGrid>
        <w:gridCol w:w="724"/>
        <w:gridCol w:w="637"/>
        <w:gridCol w:w="903"/>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McCormick &amp; Co Inc.</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p>
      <w:pPr>
        <w:pStyle w:val="TextBody"/>
        <w:bidi w:val="0"/>
        <w:spacing w:before="0" w:after="0"/>
        <w:jc w:val="center"/>
        <w:rPr/>
      </w:pPr>
      <w:r>
        <w:rPr/>
      </w:r>
    </w:p>
    <w:tbl>
      <w:tblPr>
        <w:tblW w:w="8233" w:type="dxa"/>
        <w:jc w:val="center"/>
        <w:tblInd w:w="0" w:type="dxa"/>
        <w:tblLayout w:type="fixed"/>
        <w:tblCellMar>
          <w:top w:w="28" w:type="dxa"/>
          <w:left w:w="28" w:type="dxa"/>
          <w:bottom w:w="28" w:type="dxa"/>
          <w:right w:w="28" w:type="dxa"/>
        </w:tblCellMar>
      </w:tblPr>
      <w:tblGrid>
        <w:gridCol w:w="923"/>
        <w:gridCol w:w="810"/>
        <w:gridCol w:w="816"/>
        <w:gridCol w:w="1266"/>
        <w:gridCol w:w="1266"/>
        <w:gridCol w:w="1277"/>
        <w:gridCol w:w="549"/>
        <w:gridCol w:w="549"/>
        <w:gridCol w:w="777"/>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Maryland</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001-14920</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52-0408290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(State or other jurisdiction</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(Commission</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(IRS Employer</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of incorporation)</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File Number)</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Identification No.)</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24 Schilling Road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Suite 1</w:t>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Hunt Valley </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Maryland</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21031</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(Address of principal executive offices)</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(Zip Code)</w:t>
            </w:r>
          </w:p>
        </w:tc>
      </w:tr>
    </w:tbl>
    <w:p>
      <w:pPr>
        <w:pStyle w:val="TextBody"/>
        <w:bidi w:val="0"/>
        <w:spacing w:before="0" w:after="0"/>
        <w:jc w:val="center"/>
        <w:rPr/>
      </w:pPr>
      <w:r>
        <w:rPr/>
      </w:r>
    </w:p>
    <w:tbl>
      <w:tblPr>
        <w:tblW w:w="6510" w:type="dxa"/>
        <w:jc w:val="center"/>
        <w:tblInd w:w="0" w:type="dxa"/>
        <w:tblLayout w:type="fixed"/>
        <w:tblCellMar>
          <w:top w:w="28" w:type="dxa"/>
          <w:left w:w="28" w:type="dxa"/>
          <w:bottom w:w="28" w:type="dxa"/>
          <w:right w:w="28" w:type="dxa"/>
        </w:tblCellMar>
      </w:tblPr>
      <w:tblGrid>
        <w:gridCol w:w="1804"/>
        <w:gridCol w:w="1584"/>
        <w:gridCol w:w="1592"/>
        <w:gridCol w:w="155"/>
        <w:gridCol w:w="155"/>
        <w:gridCol w:w="156"/>
        <w:gridCol w:w="310"/>
        <w:gridCol w:w="310"/>
        <w:gridCol w:w="444"/>
      </w:tblGrid>
      <w:tr>
        <w:trPr/>
        <w:tc>
          <w:tcPr>
            <w:tcW w:w="180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Registrant's telephone number, including area code: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410</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771-7301</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2"/>
          <w:u w:val="single"/>
        </w:rPr>
        <w:t>see</w:t>
      </w:r>
      <w:r>
        <w:rPr>
          <w:color w:val="000000"/>
        </w:rPr>
        <w:t xml:space="preserve"> </w:t>
      </w:r>
      <w:r>
        <w:rPr>
          <w:rFonts w:ascii="Times New Roman;serif" w:hAnsi="Times New Roman;serif"/>
          <w:b w:val="false"/>
          <w:color w:val="000000"/>
          <w:sz w:val="22"/>
        </w:rPr>
        <w:t>General Instruction A.2. below):</w:t>
      </w:r>
    </w:p>
    <w:p>
      <w:pPr>
        <w:pStyle w:val="TextBody"/>
        <w:bidi w:val="0"/>
        <w:spacing w:before="0" w:after="160"/>
        <w:jc w:val="left"/>
        <w:rPr/>
      </w:pPr>
      <w:r>
        <w:rPr/>
      </w:r>
    </w:p>
    <w:p>
      <w:pPr>
        <w:pStyle w:val="TextBody"/>
        <w:bidi w:val="0"/>
        <w:spacing w:lineRule="auto" w:line="312" w:before="0" w:after="160"/>
        <w:jc w:val="left"/>
        <w:rPr>
          <w:color w:val="000000"/>
        </w:rPr>
      </w:pPr>
      <w:r>
        <w:rPr>
          <w:color w:val="000000"/>
        </w:rPr>
        <w:t xml:space="preserve">☐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312" w:before="0" w:after="160"/>
        <w:jc w:val="left"/>
        <w:rPr>
          <w:color w:val="000000"/>
        </w:rPr>
      </w:pPr>
      <w:r>
        <w:rPr>
          <w:color w:val="000000"/>
        </w:rPr>
        <w:t xml:space="preserve">☐ </w:t>
      </w:r>
      <w:r>
        <w:rPr>
          <w:rFonts w:ascii="Times New Roman;serif" w:hAnsi="Times New Roman;serif"/>
          <w:b w:val="false"/>
          <w:color w:val="000000"/>
          <w:sz w:val="22"/>
        </w:rPr>
        <w:t>Soliciting material pursuant to Rule 14a-12 under the Exchange Act (17 CFR 240.14a-12)</w:t>
      </w:r>
    </w:p>
    <w:p>
      <w:pPr>
        <w:pStyle w:val="TextBody"/>
        <w:bidi w:val="0"/>
        <w:spacing w:lineRule="auto" w:line="312" w:before="0" w:after="160"/>
        <w:jc w:val="left"/>
        <w:rPr>
          <w:color w:val="000000"/>
        </w:rPr>
      </w:pPr>
      <w:r>
        <w:rPr>
          <w:color w:val="000000"/>
        </w:rPr>
        <w:t xml:space="preserve">☐ </w:t>
      </w:r>
      <w:r>
        <w:rPr>
          <w:rFonts w:ascii="Times New Roman;serif" w:hAnsi="Times New Roman;serif"/>
          <w:b w:val="false"/>
          <w:color w:val="000000"/>
          <w:sz w:val="22"/>
        </w:rPr>
        <w:t>Pre-commencement communications pursuant to Rule 14d-2(b) under the Exchange Act (17 CFR 240.14d-2(b).</w:t>
      </w:r>
    </w:p>
    <w:p>
      <w:pPr>
        <w:pStyle w:val="TextBody"/>
        <w:bidi w:val="0"/>
        <w:spacing w:lineRule="auto" w:line="312" w:before="0" w:after="160"/>
        <w:jc w:val="left"/>
        <w:rPr>
          <w:color w:val="000000"/>
        </w:rPr>
      </w:pPr>
      <w:r>
        <w:rPr>
          <w:color w:val="000000"/>
        </w:rPr>
        <w:t xml:space="preserve">☐ </w:t>
      </w:r>
      <w:r>
        <w:rPr>
          <w:rFonts w:ascii="Times New Roman;serif" w:hAnsi="Times New Roman;serif"/>
          <w:b w:val="false"/>
          <w:color w:val="000000"/>
          <w:sz w:val="22"/>
        </w:rPr>
        <w:t>Pre-commencement communications pursuant to Rule 13e-4(c) under the Exchange Act (17 CFR 240.13e-4(c).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160"/>
        <w:ind w:left="0" w:right="0" w:hanging="45"/>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8937" w:type="dxa"/>
        <w:jc w:val="left"/>
        <w:tblInd w:w="0" w:type="dxa"/>
        <w:tblLayout w:type="fixed"/>
        <w:tblCellMar>
          <w:top w:w="28" w:type="dxa"/>
          <w:left w:w="28" w:type="dxa"/>
          <w:bottom w:w="28" w:type="dxa"/>
          <w:right w:w="28" w:type="dxa"/>
        </w:tblCellMar>
      </w:tblPr>
      <w:tblGrid>
        <w:gridCol w:w="1000"/>
        <w:gridCol w:w="874"/>
        <w:gridCol w:w="885"/>
        <w:gridCol w:w="619"/>
        <w:gridCol w:w="619"/>
        <w:gridCol w:w="621"/>
        <w:gridCol w:w="1264"/>
        <w:gridCol w:w="1264"/>
        <w:gridCol w:w="1791"/>
      </w:tblGrid>
      <w:tr>
        <w:trPr/>
        <w:tc>
          <w:tcPr>
            <w:tcW w:w="100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Title of each class</w:t>
            </w:r>
          </w:p>
        </w:tc>
        <w:tc>
          <w:tcPr>
            <w:tcW w:w="1859"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Trading Symbol(s)</w:t>
            </w:r>
          </w:p>
        </w:tc>
        <w:tc>
          <w:tcPr>
            <w:tcW w:w="4319" w:type="dxa"/>
            <w:gridSpan w:val="3"/>
            <w:tcBorders>
              <w:top w:val="single" w:sz="8" w:space="0" w:color="00000A"/>
              <w:left w:val="single" w:sz="8" w:space="0" w:color="00000A"/>
              <w:right w:val="single" w:sz="8" w:space="0" w:color="00000A"/>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Name of each exchange on which registered</w:t>
            </w:r>
          </w:p>
        </w:tc>
      </w:tr>
      <w:tr>
        <w:trPr/>
        <w:tc>
          <w:tcPr>
            <w:tcW w:w="2759"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1859"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MKC-V</w:t>
            </w:r>
          </w:p>
        </w:tc>
        <w:tc>
          <w:tcPr>
            <w:tcW w:w="4319" w:type="dxa"/>
            <w:gridSpan w:val="3"/>
            <w:tcBorders>
              <w:top w:val="single" w:sz="8" w:space="0" w:color="00000A"/>
              <w:left w:val="single" w:sz="8" w:space="0" w:color="00000A"/>
              <w:right w:val="single" w:sz="8" w:space="0" w:color="00000A"/>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r>
        <w:trPr/>
        <w:tc>
          <w:tcPr>
            <w:tcW w:w="2759" w:type="dxa"/>
            <w:gridSpan w:val="3"/>
            <w:tcBorders>
              <w:top w:val="single" w:sz="8" w:space="0" w:color="00000A"/>
              <w:left w:val="single" w:sz="8" w:space="0" w:color="00000A"/>
              <w:bottom w:val="single" w:sz="8" w:space="0" w:color="00000A"/>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Common Stock Non-Voting</w:t>
            </w:r>
          </w:p>
        </w:tc>
        <w:tc>
          <w:tcPr>
            <w:tcW w:w="1859" w:type="dxa"/>
            <w:gridSpan w:val="3"/>
            <w:tcBorders>
              <w:top w:val="single" w:sz="8" w:space="0" w:color="00000A"/>
              <w:left w:val="single" w:sz="8" w:space="0" w:color="00000A"/>
              <w:bottom w:val="single" w:sz="8" w:space="0" w:color="00000A"/>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MKC</w:t>
            </w:r>
          </w:p>
        </w:tc>
        <w:tc>
          <w:tcPr>
            <w:tcW w:w="4319" w:type="dxa"/>
            <w:gridSpan w:val="3"/>
            <w:tcBorders>
              <w:top w:val="single" w:sz="8" w:space="0" w:color="00000A"/>
              <w:left w:val="single" w:sz="8" w:space="0" w:color="00000A"/>
              <w:bottom w:val="single" w:sz="8" w:space="0" w:color="00000A"/>
              <w:right w:val="single" w:sz="8" w:space="0" w:color="00000A"/>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bl>
    <w:p>
      <w:pPr>
        <w:pStyle w:val="TextBody"/>
        <w:bidi w:val="0"/>
        <w:spacing w:lineRule="auto" w:line="312" w:before="0" w:after="160"/>
        <w:ind w:left="0" w:right="0" w:hanging="45"/>
        <w:jc w:val="left"/>
        <w:rPr>
          <w:rFonts w:ascii="Times New Roman;serif" w:hAnsi="Times New Roman;serif"/>
          <w:b w:val="false"/>
          <w:color w:val="000000"/>
          <w:sz w:val="22"/>
        </w:rPr>
      </w:pPr>
      <w:r>
        <w:rPr>
          <w:rFonts w:ascii="Times New Roman;serif" w:hAnsi="Times New Roman;serif"/>
          <w:b w:val="false"/>
          <w:color w:val="000000"/>
          <w:sz w:val="22"/>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68" w:before="0" w:after="0"/>
        <w:jc w:val="left"/>
        <w:rPr/>
      </w:pPr>
      <w:r>
        <w:rPr>
          <w:rFonts w:ascii="Times New Roman;serif" w:hAnsi="Times New Roman;serif"/>
          <w:b w:val="false"/>
          <w:color w:val="000000"/>
          <w:sz w:val="22"/>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Item 5.02</w:t>
      </w:r>
      <w:r>
        <w:rPr>
          <w:color w:val="000000"/>
        </w:rPr>
        <w:t xml:space="preserve">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On August 25, 2026, Anne Bramnan, a member of the Board of Directors (the “Board”) of McCormick &amp; Company, Incorporated (the “Company”) and the Chair of the Audit Committee of the Board, informed the Board that she intends to resign from the Board. Ms. Bramman’s decision to resign from the Company’s Board is due to her recent appointment as Executive Vice President and Chief Financial Officer of Best Buy Co., Inc. (NYSE:BBY) and the time commitments which such position will require. To support an orderly transition, Ms. Bramman will step down as Chair of the Audit Committee effective September 1, 2026, but will remain a member of the Board and Audit Committee until she resigns from the Board effective November 30, 2026. Valarie Sheppard, current member of the Board and Audit Committee will assume the role of Chair of the Audit Committee effective September 1, 2026. Ms. Bramman’s resignation is not due to any disagreement with the Company on any matter relating to the Company’s operations, policies, or practices.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center"/>
        <w:rPr/>
      </w:pPr>
      <w:r>
        <w:rPr/>
      </w:r>
    </w:p>
    <w:tbl>
      <w:tblPr>
        <w:tblW w:w="8496" w:type="dxa"/>
        <w:jc w:val="left"/>
        <w:tblInd w:w="0" w:type="dxa"/>
        <w:tblLayout w:type="fixed"/>
        <w:tblCellMar>
          <w:top w:w="28" w:type="dxa"/>
          <w:left w:w="28" w:type="dxa"/>
          <w:bottom w:w="28" w:type="dxa"/>
          <w:right w:w="28" w:type="dxa"/>
        </w:tblCellMar>
      </w:tblPr>
      <w:tblGrid>
        <w:gridCol w:w="705"/>
        <w:gridCol w:w="621"/>
        <w:gridCol w:w="624"/>
        <w:gridCol w:w="466"/>
        <w:gridCol w:w="466"/>
        <w:gridCol w:w="466"/>
        <w:gridCol w:w="466"/>
        <w:gridCol w:w="466"/>
        <w:gridCol w:w="466"/>
        <w:gridCol w:w="1085"/>
        <w:gridCol w:w="1085"/>
        <w:gridCol w:w="158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McCORMICK &amp; COMPANY, INCORPORATED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28, 2026</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Jeffery D. Schwartz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Jeffery D. Schwartz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General Counsel &amp;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544</Words>
  <Characters>2971</Characters>
  <CharactersWithSpaces>3479</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