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60" w:after="283"/>
        <w:ind w:left="0" w:right="0" w:firstLine="720"/>
        <w:jc w:val="center"/>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August 31,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001-14920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48"/>
        </w:rPr>
        <w:t>McCORMICK &amp; COMPANY,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7"/>
        <w:gridCol w:w="753"/>
        <w:gridCol w:w="760"/>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52-0408290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tbl>
      <w:tblPr>
        <w:tblW w:w="3852" w:type="dxa"/>
        <w:jc w:val="left"/>
        <w:tblInd w:w="0" w:type="dxa"/>
        <w:tblLayout w:type="fixed"/>
        <w:tblCellMar>
          <w:top w:w="28" w:type="dxa"/>
          <w:left w:w="28" w:type="dxa"/>
          <w:bottom w:w="28" w:type="dxa"/>
          <w:right w:w="28" w:type="dxa"/>
        </w:tblCellMar>
      </w:tblPr>
      <w:tblGrid>
        <w:gridCol w:w="551"/>
        <w:gridCol w:w="482"/>
        <w:gridCol w:w="482"/>
        <w:gridCol w:w="464"/>
        <w:gridCol w:w="464"/>
        <w:gridCol w:w="480"/>
        <w:gridCol w:w="272"/>
        <w:gridCol w:w="272"/>
        <w:gridCol w:w="385"/>
      </w:tblGrid>
      <w:tr>
        <w:trPr/>
        <w:tc>
          <w:tcPr>
            <w:tcW w:w="5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 Schilling Road, Suite 1,</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Hunt Valley, </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21031</w:t>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(410) 771-7301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05" w:type="dxa"/>
        <w:jc w:val="left"/>
        <w:tblInd w:w="0" w:type="dxa"/>
        <w:tblLayout w:type="fixed"/>
        <w:tblCellMar>
          <w:top w:w="28" w:type="dxa"/>
          <w:left w:w="28" w:type="dxa"/>
          <w:bottom w:w="28" w:type="dxa"/>
          <w:right w:w="28" w:type="dxa"/>
        </w:tblCellMar>
      </w:tblPr>
      <w:tblGrid>
        <w:gridCol w:w="124"/>
        <w:gridCol w:w="109"/>
        <w:gridCol w:w="109"/>
        <w:gridCol w:w="1507"/>
        <w:gridCol w:w="1507"/>
        <w:gridCol w:w="1515"/>
        <w:gridCol w:w="308"/>
        <w:gridCol w:w="308"/>
        <w:gridCol w:w="313"/>
        <w:gridCol w:w="1085"/>
        <w:gridCol w:w="1085"/>
        <w:gridCol w:w="1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MKC.V</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Non-Voting, Par Value $0.01 per share</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MKC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ind w:left="0" w:right="0" w:firstLine="495"/>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466"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4766" w:type="dxa"/>
        <w:jc w:val="left"/>
        <w:tblInd w:w="0" w:type="dxa"/>
        <w:tblLayout w:type="fixed"/>
        <w:tblCellMar>
          <w:top w:w="28" w:type="dxa"/>
          <w:left w:w="28" w:type="dxa"/>
          <w:bottom w:w="28" w:type="dxa"/>
          <w:right w:w="28" w:type="dxa"/>
        </w:tblCellMar>
      </w:tblPr>
      <w:tblGrid>
        <w:gridCol w:w="124"/>
        <w:gridCol w:w="109"/>
        <w:gridCol w:w="109"/>
        <w:gridCol w:w="794"/>
        <w:gridCol w:w="794"/>
        <w:gridCol w:w="797"/>
        <w:gridCol w:w="592"/>
        <w:gridCol w:w="594"/>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 Outstanding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14,522,864 </w:t>
            </w:r>
          </w:p>
        </w:tc>
        <w:tc>
          <w:tcPr>
            <w:tcW w:w="48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Non-Voting</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254,541,615 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63"/>
        <w:gridCol w:w="319"/>
        <w:gridCol w:w="319"/>
        <w:gridCol w:w="342"/>
        <w:gridCol w:w="319"/>
        <w:gridCol w:w="319"/>
        <w:gridCol w:w="2635"/>
        <w:gridCol w:w="2578"/>
        <w:gridCol w:w="2636"/>
        <w:gridCol w:w="109"/>
        <w:gridCol w:w="109"/>
        <w:gridCol w:w="157"/>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0">
              <w:r>
                <w:rPr>
                  <w:rStyle w:val="InternetLink"/>
                  <w:rFonts w:ascii="Times New Roman;serif" w:hAnsi="Times New Roman;serif"/>
                  <w:b w:val="false"/>
                  <w:color w:val="0000FF"/>
                  <w:sz w:val="20"/>
                  <w:u w:val="single"/>
                </w:rPr>
                <w:t>PART I – 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6">
              <w:r>
                <w:rPr>
                  <w:rStyle w:val="InternetLink"/>
                  <w:rFonts w:ascii="Times New Roman;serif" w:hAnsi="Times New Roman;serif"/>
                  <w:b w:val="false"/>
                  <w:color w:val="0000FF"/>
                  <w:sz w:val="20"/>
                  <w:u w:val="single"/>
                </w:rPr>
                <w:t>4</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6">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6">
              <w:r>
                <w:rPr>
                  <w:rStyle w:val="InternetLink"/>
                  <w:rFonts w:ascii="Times New Roman;serif" w:hAnsi="Times New Roman;serif"/>
                  <w:b w:val="false"/>
                  <w:color w:val="0000FF"/>
                  <w:sz w:val="20"/>
                  <w:u w:val="single"/>
                </w:rPr>
                <w:t>4</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85">
              <w:r>
                <w:rPr>
                  <w:rStyle w:val="InternetLink"/>
                  <w:rFonts w:ascii="Times New Roman;serif" w:hAnsi="Times New Roman;serif"/>
                  <w:b w:val="false"/>
                  <w:color w:val="0000FF"/>
                  <w:sz w:val="20"/>
                  <w:u w:val="single"/>
                </w:rPr>
                <w:t>29</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33">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33">
              <w:r>
                <w:rPr>
                  <w:rStyle w:val="InternetLink"/>
                  <w:rFonts w:ascii="Times New Roman;serif" w:hAnsi="Times New Roman;serif"/>
                  <w:b w:val="false"/>
                  <w:color w:val="0000FF"/>
                  <w:sz w:val="20"/>
                  <w:u w:val="single"/>
                </w:rPr>
                <w:t>46</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36">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36">
              <w:r>
                <w:rPr>
                  <w:rStyle w:val="InternetLink"/>
                  <w:rFonts w:ascii="Times New Roman;serif" w:hAnsi="Times New Roman;serif"/>
                  <w:b w:val="false"/>
                  <w:color w:val="0000FF"/>
                  <w:sz w:val="20"/>
                  <w:u w:val="single"/>
                </w:rPr>
                <w:t>47</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39">
              <w:r>
                <w:rPr>
                  <w:rStyle w:val="InternetLink"/>
                  <w:rFonts w:ascii="Times New Roman;serif" w:hAnsi="Times New Roman;serif"/>
                  <w:b w:val="false"/>
                  <w:color w:val="0000FF"/>
                  <w:sz w:val="20"/>
                  <w:u w:val="single"/>
                </w:rPr>
                <w:t>PART II - 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39">
              <w:r>
                <w:rPr>
                  <w:rStyle w:val="InternetLink"/>
                  <w:rFonts w:ascii="Times New Roman;serif" w:hAnsi="Times New Roman;serif"/>
                  <w:b w:val="false"/>
                  <w:color w:val="0000FF"/>
                  <w:sz w:val="20"/>
                  <w:u w:val="single"/>
                </w:rPr>
                <w:t>48</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42">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42">
              <w:r>
                <w:rPr>
                  <w:rStyle w:val="InternetLink"/>
                  <w:rFonts w:ascii="Times New Roman;serif" w:hAnsi="Times New Roman;serif"/>
                  <w:b w:val="false"/>
                  <w:color w:val="0000FF"/>
                  <w:sz w:val="20"/>
                  <w:u w:val="single"/>
                </w:rPr>
                <w:t>48</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45">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45">
              <w:r>
                <w:rPr>
                  <w:rStyle w:val="InternetLink"/>
                  <w:rFonts w:ascii="Times New Roman;serif" w:hAnsi="Times New Roman;serif"/>
                  <w:b w:val="false"/>
                  <w:color w:val="0000FF"/>
                  <w:sz w:val="20"/>
                  <w:u w:val="single"/>
                </w:rPr>
                <w:t>48</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48">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48">
              <w:r>
                <w:rPr>
                  <w:rStyle w:val="InternetLink"/>
                  <w:rFonts w:ascii="Times New Roman;serif" w:hAnsi="Times New Roman;serif"/>
                  <w:b w:val="false"/>
                  <w:color w:val="0000FF"/>
                  <w:sz w:val="20"/>
                  <w:u w:val="single"/>
                </w:rPr>
                <w:t>51</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51">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51">
              <w:r>
                <w:rPr>
                  <w:rStyle w:val="InternetLink"/>
                  <w:rFonts w:ascii="Times New Roman;serif" w:hAnsi="Times New Roman;serif"/>
                  <w:b w:val="false"/>
                  <w:color w:val="0000FF"/>
                  <w:sz w:val="20"/>
                  <w:u w:val="single"/>
                </w:rPr>
                <w:t>51</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54">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54">
              <w:r>
                <w:rPr>
                  <w:rStyle w:val="InternetLink"/>
                  <w:rFonts w:ascii="Times New Roman;serif" w:hAnsi="Times New Roman;serif"/>
                  <w:b w:val="false"/>
                  <w:color w:val="0000FF"/>
                  <w:sz w:val="20"/>
                  <w:u w:val="single"/>
                </w:rPr>
                <w:t>52</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57">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57">
              <w:r>
                <w:rPr>
                  <w:rStyle w:val="InternetLink"/>
                  <w:rFonts w:ascii="Times New Roman;serif" w:hAnsi="Times New Roman;serif"/>
                  <w:b w:val="false"/>
                  <w:color w:val="0000FF"/>
                  <w:sz w:val="20"/>
                  <w:u w:val="single"/>
                </w:rPr>
                <w:t>52</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69e08d968d4a39af6b5b2caff334c2_163">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f69e08d968d4a39af6b5b2caff334c2_163">
              <w:r>
                <w:rPr>
                  <w:rStyle w:val="InternetLink"/>
                  <w:rFonts w:ascii="Times New Roman;serif" w:hAnsi="Times New Roman;serif"/>
                  <w:b w:val="false"/>
                  <w:color w:val="0000FF"/>
                  <w:sz w:val="20"/>
                  <w:u w:val="single"/>
                </w:rPr>
                <w:t>53</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INCOME STATEMENT (UNAUDITED)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except per share amounts)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66"/>
        <w:gridCol w:w="1452"/>
        <w:gridCol w:w="1445"/>
        <w:gridCol w:w="224"/>
        <w:gridCol w:w="819"/>
        <w:gridCol w:w="116"/>
        <w:gridCol w:w="116"/>
        <w:gridCol w:w="116"/>
        <w:gridCol w:w="116"/>
        <w:gridCol w:w="224"/>
        <w:gridCol w:w="819"/>
        <w:gridCol w:w="116"/>
        <w:gridCol w:w="109"/>
        <w:gridCol w:w="109"/>
        <w:gridCol w:w="109"/>
        <w:gridCol w:w="219"/>
        <w:gridCol w:w="796"/>
        <w:gridCol w:w="112"/>
        <w:gridCol w:w="112"/>
        <w:gridCol w:w="112"/>
        <w:gridCol w:w="112"/>
        <w:gridCol w:w="219"/>
        <w:gridCol w:w="796"/>
        <w:gridCol w:w="171"/>
      </w:tblGrid>
      <w:tr>
        <w:trPr/>
        <w:tc>
          <w:tcPr>
            <w:tcW w:w="166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August 31,</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consolidated operations before income taxes</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operations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basic</w:t>
            </w:r>
          </w:p>
        </w:tc>
        <w:tc>
          <w:tcPr>
            <w:tcW w:w="10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diluted</w:t>
            </w:r>
          </w:p>
        </w:tc>
        <w:tc>
          <w:tcPr>
            <w:tcW w:w="10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per share – voting and non-voting</w:t>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180" w:after="283"/>
        <w:ind w:left="0" w:right="0" w:firstLine="720"/>
        <w:jc w:val="center"/>
        <w:rPr/>
      </w:pPr>
      <w:r>
        <w:rPr/>
      </w:r>
    </w:p>
    <w:p>
      <w:pPr>
        <w:pStyle w:val="TextBody"/>
        <w:bidi w:val="0"/>
        <w:spacing w:lineRule="auto" w:line="288" w:before="18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 OF COMPREHENSIVE INCOME (UNAUDITED)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2"/>
        <w:gridCol w:w="1504"/>
        <w:gridCol w:w="1518"/>
        <w:gridCol w:w="243"/>
        <w:gridCol w:w="711"/>
        <w:gridCol w:w="125"/>
        <w:gridCol w:w="125"/>
        <w:gridCol w:w="125"/>
        <w:gridCol w:w="125"/>
        <w:gridCol w:w="243"/>
        <w:gridCol w:w="711"/>
        <w:gridCol w:w="125"/>
        <w:gridCol w:w="109"/>
        <w:gridCol w:w="109"/>
        <w:gridCol w:w="109"/>
        <w:gridCol w:w="227"/>
        <w:gridCol w:w="824"/>
        <w:gridCol w:w="116"/>
        <w:gridCol w:w="116"/>
        <w:gridCol w:w="116"/>
        <w:gridCol w:w="116"/>
        <w:gridCol w:w="227"/>
        <w:gridCol w:w="663"/>
        <w:gridCol w:w="176"/>
      </w:tblGrid>
      <w:tr>
        <w:trPr/>
        <w:tc>
          <w:tcPr>
            <w:tcW w:w="174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August 31,</w:t>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into earnings upon acquisition of controlling interest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 financial instruments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components of pension and other postretirement plans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w:t>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McCormick &amp; Company shareholders' equity</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color w:val="000000"/>
        </w:rPr>
      </w:pPr>
      <w:r>
        <w:rPr>
          <w:color w:val="000000"/>
        </w:rPr>
        <w:t> </w:t>
      </w:r>
    </w:p>
    <w:tbl>
      <w:tblPr>
        <w:tblW w:w="7112" w:type="dxa"/>
        <w:jc w:val="left"/>
        <w:tblInd w:w="0" w:type="dxa"/>
        <w:tblLayout w:type="fixed"/>
        <w:tblCellMar>
          <w:top w:w="28" w:type="dxa"/>
          <w:left w:w="28" w:type="dxa"/>
          <w:bottom w:w="28" w:type="dxa"/>
          <w:right w:w="28" w:type="dxa"/>
        </w:tblCellMar>
      </w:tblPr>
      <w:tblGrid>
        <w:gridCol w:w="1560"/>
        <w:gridCol w:w="1369"/>
        <w:gridCol w:w="1376"/>
        <w:gridCol w:w="211"/>
        <w:gridCol w:w="871"/>
        <w:gridCol w:w="109"/>
        <w:gridCol w:w="109"/>
        <w:gridCol w:w="109"/>
        <w:gridCol w:w="109"/>
        <w:gridCol w:w="220"/>
        <w:gridCol w:w="909"/>
        <w:gridCol w:w="160"/>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w:t>
              <w:b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work-in-process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non-voting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McCormick &amp; Company shareholders’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5,768.1 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CASH FLOW STATEMENT (UNAUDITED)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color w:val="000000"/>
        </w:rPr>
      </w:pPr>
      <w:r>
        <w:rPr>
          <w:color w:val="000000"/>
        </w:rPr>
        <w:t> </w:t>
      </w:r>
    </w:p>
    <w:tbl>
      <w:tblPr>
        <w:tblW w:w="9775" w:type="dxa"/>
        <w:jc w:val="left"/>
        <w:tblInd w:w="0" w:type="dxa"/>
        <w:tblLayout w:type="fixed"/>
        <w:tblCellMar>
          <w:top w:w="28" w:type="dxa"/>
          <w:left w:w="28" w:type="dxa"/>
          <w:bottom w:w="28" w:type="dxa"/>
          <w:right w:w="28" w:type="dxa"/>
        </w:tblCellMar>
      </w:tblPr>
      <w:tblGrid>
        <w:gridCol w:w="2579"/>
        <w:gridCol w:w="2265"/>
        <w:gridCol w:w="2281"/>
        <w:gridCol w:w="234"/>
        <w:gridCol w:w="849"/>
        <w:gridCol w:w="120"/>
        <w:gridCol w:w="120"/>
        <w:gridCol w:w="120"/>
        <w:gridCol w:w="120"/>
        <w:gridCol w:w="234"/>
        <w:gridCol w:w="683"/>
        <w:gridCol w:w="170"/>
      </w:tblGrid>
      <w:tr>
        <w:trPr/>
        <w:tc>
          <w:tcPr>
            <w:tcW w:w="2579"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August 31,</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 provided by operating activities: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fair value adjustments associated with acquisition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included in special charges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operations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equity interest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 of businesses acquired)</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unconsolidated affiliates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operating activities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(including software)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in investing activities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borrowings (net of debt issuance costs of $1.1)</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fees paid</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repayments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exercised stock options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withheld and paid on employee stock awards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by purchase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joint venture partners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(used in) financing activities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SHAREHOLDERS' EQUITY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6"/>
        <w:gridCol w:w="434"/>
        <w:gridCol w:w="438"/>
        <w:gridCol w:w="303"/>
        <w:gridCol w:w="294"/>
        <w:gridCol w:w="295"/>
        <w:gridCol w:w="338"/>
        <w:gridCol w:w="338"/>
        <w:gridCol w:w="339"/>
        <w:gridCol w:w="230"/>
        <w:gridCol w:w="838"/>
        <w:gridCol w:w="119"/>
        <w:gridCol w:w="218"/>
        <w:gridCol w:w="794"/>
        <w:gridCol w:w="113"/>
        <w:gridCol w:w="319"/>
        <w:gridCol w:w="953"/>
        <w:gridCol w:w="166"/>
        <w:gridCol w:w="296"/>
        <w:gridCol w:w="868"/>
        <w:gridCol w:w="154"/>
        <w:gridCol w:w="234"/>
        <w:gridCol w:w="853"/>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Shares</w:t>
            </w:r>
          </w:p>
        </w:tc>
        <w:tc>
          <w:tcPr>
            <w:tcW w:w="10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Common Stock </w:t>
              <w:br/>
              <w:t>Non-Voting Shares</w:t>
            </w:r>
          </w:p>
        </w:tc>
        <w:tc>
          <w:tcPr>
            <w:tcW w:w="11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Amount</w:t>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4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3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2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Shareholders’ Equity</w:t>
            </w:r>
          </w:p>
        </w:tc>
      </w:tr>
      <w:tr>
        <w:trPr/>
        <w:tc>
          <w:tcPr>
            <w:tcW w:w="19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2026</w:t>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May 31, 2026</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and retired</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Equal exchange</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2026</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November 30, 2025</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non-controlling interest recognized at acquisition</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and retired</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Equal exchange</w:t>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5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48"/>
        <w:gridCol w:w="410"/>
        <w:gridCol w:w="414"/>
        <w:gridCol w:w="308"/>
        <w:gridCol w:w="299"/>
        <w:gridCol w:w="300"/>
        <w:gridCol w:w="341"/>
        <w:gridCol w:w="341"/>
        <w:gridCol w:w="342"/>
        <w:gridCol w:w="233"/>
        <w:gridCol w:w="846"/>
        <w:gridCol w:w="120"/>
        <w:gridCol w:w="219"/>
        <w:gridCol w:w="797"/>
        <w:gridCol w:w="113"/>
        <w:gridCol w:w="325"/>
        <w:gridCol w:w="971"/>
        <w:gridCol w:w="169"/>
        <w:gridCol w:w="336"/>
        <w:gridCol w:w="816"/>
        <w:gridCol w:w="175"/>
        <w:gridCol w:w="237"/>
        <w:gridCol w:w="862"/>
        <w:gridCol w:w="183"/>
      </w:tblGrid>
      <w:tr>
        <w:trPr/>
        <w:tc>
          <w:tcPr>
            <w:tcW w:w="104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Shares</w:t>
            </w:r>
          </w:p>
        </w:tc>
        <w:tc>
          <w:tcPr>
            <w:tcW w:w="1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Common Stock </w:t>
              <w:br/>
              <w:t>Non-Voting Shares</w:t>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Amount</w:t>
            </w:r>
          </w:p>
        </w:tc>
        <w:tc>
          <w:tcPr>
            <w:tcW w:w="11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4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2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Shareholders’ Equity</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2025</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May 31, 2025</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and retired</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Equal exchange</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2025</w:t>
            </w:r>
          </w:p>
        </w:tc>
        <w:tc>
          <w:tcPr>
            <w:tcW w:w="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2025</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November 30, 2024</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and retired</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w:t>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Equal exchange</w:t>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2025</w:t>
            </w:r>
          </w:p>
        </w:tc>
        <w:tc>
          <w:tcPr>
            <w:tcW w:w="60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5,783.6 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McCORMICK &amp; COMPANY,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1.ACCOUNTING POLICIES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Basis of Presentation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the instructions to Form 10-Q and do not include all the information and notes required by United States Generally Accepted Accounting Principles (GAAP) for complete financial statements. In our opinion, the accompanying condensed consolidated financial statements contain all adjustments, which are of a normal and recurring nature, necessary to present fairly the financial position and the results of operations for the interim periods presented.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have been reclassified to conform with the current period presentation. Net income attributable to noncontrolling interests is presented separately on the condensed consolidated income statement. Amounts from prior periods previously included in Income from unconsolidated operations are reflected in Net income attributable to noncontrolling interests.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results of consolidated operations for the nine-month period ended August 31, 2026 are not necessarily indicative of the results to be expected for the full year. Historically, our net sales, net income, and cash flow from operations have been lower in the first half of the fiscal year and higher in the second half of the fiscal year. This historical increase in the second half of the year has largely been due to the consumer business cycle in the United States (U.S.), where customers typically purchase more of our products in the fourth quarter due to the Thanksgiving and Christmas holiday seasons.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For further information, refer to the consolidated financial statements and notes included in our Annual Report on Form 10-K for the year ended November 30, 2025.</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we completed the acquisition of an additional 25% ownership interest in McCormick de Mexico from Grupo Herdez, which increased our ownership to a 75% controlling interest. The results of McCormick de Mexico’s operations have been fully consolidated in our financial statements from the date the controlling interest was acquired, which is more fully described in Note 2.</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Payable - Supplier Finance Program</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more fully described in our Annual Report on Form 10-K for the year ended November 30, 2025, we participate in a Supply Chain Financing (SCF) program with several global financial institutions (SCF Banks). Under the SCF program, qualifying suppliers may elect to sell their receivables from us to an SCF Bank, enabling participating suppliers to negotiate their receivables sales arrangements directly with the respective SCF Bank. We are not a party to those agreements and have no economic interest in a supplier’s decision to sell a receivable.</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All outstanding amounts related to suppliers participating in the SCF program are recorded within the line entitled Trade accounts payable in our condensed consolidated balance sheets, and the associated payments are included in operating activities within our consolidated statements of cash flows. As of August 31, 2026 and November 30, 2025, the amounts due to suppliers participating in the SCF program and included in Trade accounts payable were approximately $447.7 million and $332.1 million, respectively.</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U.S. Tariffs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On April 20, 2026, CBP established an online portal through which companies can submit IEEPA tariff refund requests. We submitted our refund request on April 28, 2026, for reimbursement in the amount of $30.8 million, reflecting the amount of IEEPA tariffs we determined were paid while such tariffs were in effect from February 2025 until February 2026. During the second quarter of 2026, we determined that the refund was probable of recovery and we reduced cost of goods sold by $27.6 million, effectively reversing the IEEPA tariff expense previously recognized in connection with inventory sold to customers since the tariffs were enacted in the first quarter of 2025, and reduced the carrying value of inventory by $3.2 million.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we have received $29.2 million of IEEPA tariff refunds and have a receivable of $1.6 million for the remainder of the IEEPA tariffs previously paid, which we believe is probable of recovery. We will continue to monitor U.S. tariff-related developments and any associated impacts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Accounting Pronouncements Recently Adopted</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In November 2023, the FASB issued ASU No. 2023-07: Segment Reporting (Topic 280): Improvements to Reportable Segment Disclosures that requires entities to report incremental information about significant segment expenses included in a segment’s profit or loss measure as well as the position and title of the chief operating decision maker (CODM). The guidance also requires interim disclosures related to reportable segment profit or loss that had previously only been disclosed annually. The new standard requirements were effective for our annual period ending November 30, 2025 and are effective for interim periods of our fiscal year ending November 30, 2026. We include significant segment expenses and the required disclosure about our CODM in Note 12. The adoption of the new standard did not have a material impact on our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Hedge Accounting Improvements that better aligns the hedge accounting model with risk management activities. The guidance is effective for our fiscal year ending November 30, 2028, with early adoption permitted. We elected to adopt the guidance effective December 1, 2025 and applied the amendments prospectively. We have designated all hedge positions as of December 1, 2025 under the updated guidance, which did not have a material impact on our consolidated financial statements.</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MERGERS AND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Acquisitions are part of our strategy to increase sales and profits. The McCormick de Mexico and Jurado acquisitions described below were recorded as business combinations with the excess of total consideration over the estimated fair value of assets acquired and liabilities assumed recorded as goodwill.</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McCormick de Mexico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we completed the acquisition of an additional 25% ownership interest in McCormick de Mexico from Grupo Herdez, for a purchase price of $750 million, which increased our ownership to a 75% controlling interest. McCormick de Mexico is a prominent food company in Mexico, with a broad portfolio, including mayonnaise, spices, marmalades, mustard, hot sauce, and tea, sold under McCormick brands. We believe the acquisition creates opportunities for further growth in the Mexican market and provides a strategic platform for further expansion in Latin America. The purchase of the additional 25% ownership interest was funded through a combination of cash on hand and commercial paper borrowings.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Prior to the acquisition of the additional ownership interest, we accounted for our 50% ownership interest in McCormick de Mexico as an equity method investment and recorded our proportional share of earnings as income from unconsolidated operations. The acquisition of the additional ownership interest resulted in the consolidation of McCormick de Mexico's financial results, which have been included as a component of our consumer and flavor solutions segments in our financial statements from the date of acquisition. The earnings attributable to the 25% ownership retained by Grupo Herdez are recorded as net income attributable to noncontrolling interests.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consolidation, the carrying value of our previously held 50% ownership interest was remeasured to fair value resulting in a pre-tax and after-tax gain of $866.8 million which was recognized in Income from unconsolidated operations. The gain represents the remeasurement of our previously held 50% ownership interest over its carrying value at the date of acquisition, less $44.8 million previously recorded in Accumulated other comprehensive loss primarily related to foreign currency translation adjustments. The fair value of the previously held equity interest was estimated based on a valuation derived from estimated fair value assessments and assumptions. This valuation was based on the implied value derived from the consideration transferred for the additional 25% ownership interest, adjusted for the control premium, and was supported by a market approach as well as an overall enterprise level discounted cash flow.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total consideration for the acquisition of the additional ownership interest in McCormick de Mexico (in millions):</w:t>
      </w:r>
    </w:p>
    <w:tbl>
      <w:tblPr>
        <w:tblW w:w="7265" w:type="dxa"/>
        <w:jc w:val="left"/>
        <w:tblInd w:w="0" w:type="dxa"/>
        <w:tblLayout w:type="fixed"/>
        <w:tblCellMar>
          <w:top w:w="28" w:type="dxa"/>
          <w:left w:w="28" w:type="dxa"/>
          <w:bottom w:w="28" w:type="dxa"/>
          <w:right w:w="28" w:type="dxa"/>
        </w:tblCellMar>
      </w:tblPr>
      <w:tblGrid>
        <w:gridCol w:w="2211"/>
        <w:gridCol w:w="1942"/>
        <w:gridCol w:w="1981"/>
        <w:gridCol w:w="211"/>
        <w:gridCol w:w="766"/>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settlement of preexisting amounts due to McCormick de Mexico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total consideration for the additional ownership interest in McCormick de Mexico was allocated to the underlying assets and liabilities based upon their preliminary estimated fair values at the date of acquisition. We estimated the fair values based on independent valuations, discounted cash flow analyses, quoted market prices, and estimates made by management,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subject to finalization. The following is a summary of the preliminary allocation as of August 31, 2026, of the total consideration which we expect to be finalized during the fiscal year ending November 30, 2026 (in millions):</w:t>
      </w:r>
    </w:p>
    <w:p>
      <w:pPr>
        <w:pStyle w:val="TextBody"/>
        <w:bidi w:val="0"/>
        <w:spacing w:before="0" w:after="0"/>
        <w:jc w:val="left"/>
        <w:rPr/>
      </w:pPr>
      <w:r>
        <w:rPr/>
      </w:r>
    </w:p>
    <w:tbl>
      <w:tblPr>
        <w:tblW w:w="4191" w:type="dxa"/>
        <w:jc w:val="left"/>
        <w:tblInd w:w="0" w:type="dxa"/>
        <w:tblLayout w:type="fixed"/>
        <w:tblCellMar>
          <w:top w:w="28" w:type="dxa"/>
          <w:left w:w="28" w:type="dxa"/>
          <w:bottom w:w="28" w:type="dxa"/>
          <w:right w:w="28" w:type="dxa"/>
        </w:tblCellMar>
      </w:tblPr>
      <w:tblGrid>
        <w:gridCol w:w="1108"/>
        <w:gridCol w:w="975"/>
        <w:gridCol w:w="977"/>
        <w:gridCol w:w="211"/>
        <w:gridCol w:w="76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determined the carrying values of cash, trade receivables and payables, as well as certain other current and non-current assets and liabilities, represented the fair values. The property, plant and equipment fair value was estimated using the replacement cost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acquired consist of raw materials and finished goods inventory that were valued using a net realizable value approach, which resulted in a step-up of $15.0 million that was recognized in cost of goods sold as the related inventory was sold.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include a reacquired right indefinite-lived intangible asset with an estimated fair value of $1,470.0 million and customer relationships with a weighted-average life of 15 years and an estimated fair value of $130.0 million. The reacquired right represents the value of McCormick's reacquisition of contractual rights previously granted to Grupo Herdez as part of the joint venture agreement giving McCormick de Mexico the perpetual and exclusive licensing right to sell specified McCormick branded products in Mexico. This right is expected to contribute cash flows for the foreseeable future and does not have substantive limiting factors. The fair value of the reacquired right was estimated using the multi-period excess earnings method of the income approach. The fair value of customer relationships was estimated using the distributor method, a variation of the multi-purpose excess earnings method that uses distributor-based inputs for margins and contributory asset charges. Some of the more significant assumptions inherent in developing the estimated fair values included the estimated annual net cash flows for each intangible asset (including net sales, operating profit margin, and working capital/contributory asset charges), a discount rate that appropriately reflects the risk inherent in each future cash flow stream, the assessment of each asset’s life cycle, and competitive trends, as well as other factors. The assumptions used in the financial forecasts were determined using historical data, supplemented by current and anticipated market conditions, estimated product category growth rates, management plans, and market comparables.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Goodwill, which represents the value associated with the expected synergies, acquired workforce and future growth opportunities anticipated to be realized as a combined company, is not deductible for tax purposes. Goodwill will be allocated to our consumer and flavor solutions segments when the allocation of the consideration to the acquired net assets is finalized.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primarily represent the expected future tax consequences of temporary differences between the fair value of the assets acquired and liabilities assumed and their tax bases.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noncontrolling interest was estimated based on a valuation derived from estimated fair value assessments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assumptions. This valuation was based on the implied value derived from the consideration transferred for the additional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 ownership interest, adjusted for the control premium, and was supported by a market approach as well as an overall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enterprise level discounted cash flow.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 adjustments were made to the preliminary estimated fair values during the third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transacts in the ordinary course of business with Grupo Herdez, a related party that owns a 25% noncontrolling interest in McCormick de Mexico. Contractual arrangements with Grupo Herdez include payments from McCormick de Mexico for (i) supervision and strategic management services based on a percentage of net sales of products registered under the McCormick brand and (ii) exclusive distribution services, including invoicing to customers, based on a percentage of net sales.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McCormick de Mexico incurred expenses of $41.7 million and $108.5 million, respectively, related to transactions with Grupo Herdez. As of August 31, 2026, accounts receivable included $192.5 million due from Grupo Herdez and accounts payable included $32.1 million due to Grupo Herdez. For the three and nine months ended August 31, 2026, we paid total dividends to Grupo Herdez in the amounts of $11.3 million and $19.7 million,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August 31, 2026, McCormick de Mexico added $251.7 million and $655.4 million, respectively, to our net sales.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Pro Forma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supplemental pro forma consolidated net sales as if the McCormick de Mexico acquisition had occurred on December 1, 2024.</w:t>
      </w:r>
    </w:p>
    <w:tbl>
      <w:tblPr>
        <w:tblW w:w="6209" w:type="dxa"/>
        <w:jc w:val="left"/>
        <w:tblInd w:w="0" w:type="dxa"/>
        <w:tblLayout w:type="fixed"/>
        <w:tblCellMar>
          <w:top w:w="28" w:type="dxa"/>
          <w:left w:w="28" w:type="dxa"/>
          <w:bottom w:w="28" w:type="dxa"/>
          <w:right w:w="28" w:type="dxa"/>
        </w:tblCellMar>
      </w:tblPr>
      <w:tblGrid>
        <w:gridCol w:w="304"/>
        <w:gridCol w:w="266"/>
        <w:gridCol w:w="26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unaudited supplemental pro forma consolidated net sales gives effect to actual revenues prior to the McCormick de Mexico acquisition, adjusted to exclude the elimination of intercompany transactions. Other than the impact of the gain on remeasurement of previously held equity interest and transaction and integration costs (as discussed above), supplemental pro forma net earnings, assuming the McCormick de Mexico acquisition had occurred on December 1, 2024, would not be materially different from the results reported during the three and nine months ended August 31, 2025 and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information has been prepared for comparative purposes only, in accordance with the acquisition method of accounting, and is not necessarily indicative of the results of operations that would have occurred if the McCormick de Mexico acquisition had been completed on the date indicated, nor is it indicative of our future operating results. </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Jurado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March 31, 2025, we purchased substantially all of the assets of Jurado, Inc. (Jurado), a supplier of chili mash located in Las Cruces, New Mexico. The purchase price for Jurado was $38.1 million and the determination of the fair value of the acquired Jurado assets was finalized during 2025. The results of Jurado’s operations have been included in our financial statements from the date of the acquisition and are not material.</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Pending Merger with Unilever Foods Business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March 31, 2026, we entered into an Agreement and Plan of Merger (the “Merger Agreement”) with Unilever PLC (“Unilever”) to combine with the Unilever Foods business (“Unilever Foods”), a transaction that will create a global flavor leader in attractive and high-growth categories.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facilitate the transaction, Unilever is expected to separate its Unilever Foods business, excluding its foods businesses in India, Nepal and Portugal, its Lifestyle &amp; Nutrition business, its Buavita business, its Lipton Ready-to-Drink business and certain other businesses. Under the terms of the Merger Agreement, we will issue voting and non-voting securities to Unilever shareholders and Unilever in the same proportion as is currently held by our shareholders. The transactions contemplated by the Merger Agreement are expected to result in current Unilever shareholders owning approximately 55.1% of the combined company, our current shareholders owning approximately 35.0% of the combined company, and Unilever retaining up to approximately 9.9% of the total outstanding equity of the combined company, assuming Unilever does not elect to dispose of such interest to its shareholders in accordance with the Merger Agreement. Unilever will also receive a one-time $15.7 billion cash payment, subject to certain adjustments. The distribution of shares of Unilever Foods to Unilever’s shareholders and the pending transaction, taken together, are intended to qualify as a Reverse Morris Trust transaction that is generally tax-free to Unilever’s shareholders for U.S. federal income tax purposes, except to the extent that cash is paid to Unilever’s shareholders in lieu of fractional shares or Unilever elects to sell all or substantially all of the Unilever Foods assets operated in the United States to McCormick or a subsidiary of McCormick in a transaction that is taxable for U.S. federal income tax purposes (the "U.S. Asset Sale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pending transaction is subject to the satisfaction or waiver of customary closing conditions, including the receipt of our shareholders' approval, the expiration or termination of the waiting period under the Hart-Scott-Rodino Antitrust Improvements Act of 1976, as amended, obtaining certain other consents, authorizations, orders or approvals from governmental authorities, including certain other antitrust and any foreign investment approvals, and the effectiveness of a registration statement on Form S-4 to be filed by us.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and Unilever each have termination rights under the Merger Agreement. A termination fee of $420 million or transaction expense reimbursement up to $75 million may be payable by us to Unilever, upon termination of the Merger Agreement under specified circumstances, each as more fully described in the Merger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we entered into a commitment letter on March 31, 2026 (the "Bridge Commitment Letter") with Citigroup Global Markets Inc., Goldman Sachs Bank USA and Morgan Stanley Senior Funding, Inc., (the "Commitment Parties") pursuant to which the Commitment Parties committed to provide, subject to the terms and conditions set forth therein, a 364-day senior unsecured bridge term loan credit facility (the "Bridge Facility") in an aggregate principal amount of up to $15.7 billion. See Note 4 for more information on the Bridge Facility.</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Bridge Commitment Letter also contemplates that we will seek to obtain permanent financing in the form of senior unsecured notes and/or senior unsecured term loans prior to the closing of the Merger (collectively, the “Permanent Financing”). Commitments under the Bridge Facility will be reduced by the amount of any Permanent Financing as well as the proceeds of certain asset sales and certain other events. The receipt of financing by us is not a condition to our obligation to consummate the pending transaction.</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SPECIAL CHARGES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special charges, by income statement line item, recognized in the three and nine months ended August 31, 2026 and 2025 (in millions):</w:t>
      </w:r>
    </w:p>
    <w:tbl>
      <w:tblPr>
        <w:tblW w:w="9154" w:type="dxa"/>
        <w:jc w:val="left"/>
        <w:tblInd w:w="0" w:type="dxa"/>
        <w:tblLayout w:type="fixed"/>
        <w:tblCellMar>
          <w:top w:w="28" w:type="dxa"/>
          <w:left w:w="28" w:type="dxa"/>
          <w:bottom w:w="28" w:type="dxa"/>
          <w:right w:w="28" w:type="dxa"/>
        </w:tblCellMar>
      </w:tblPr>
      <w:tblGrid>
        <w:gridCol w:w="1513"/>
        <w:gridCol w:w="1331"/>
        <w:gridCol w:w="1340"/>
        <w:gridCol w:w="248"/>
        <w:gridCol w:w="725"/>
        <w:gridCol w:w="128"/>
        <w:gridCol w:w="128"/>
        <w:gridCol w:w="128"/>
        <w:gridCol w:w="128"/>
        <w:gridCol w:w="248"/>
        <w:gridCol w:w="477"/>
        <w:gridCol w:w="128"/>
        <w:gridCol w:w="109"/>
        <w:gridCol w:w="109"/>
        <w:gridCol w:w="109"/>
        <w:gridCol w:w="227"/>
        <w:gridCol w:w="665"/>
        <w:gridCol w:w="117"/>
        <w:gridCol w:w="117"/>
        <w:gridCol w:w="117"/>
        <w:gridCol w:w="117"/>
        <w:gridCol w:w="227"/>
        <w:gridCol w:w="552"/>
        <w:gridCol w:w="166"/>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expenses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 benefits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included in Cost of goods sold</w:t>
            </w:r>
          </w:p>
        </w:tc>
        <w:tc>
          <w:tcPr>
            <w:tcW w:w="97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 included in Interest expense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special charges</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our consolidated income statement, we include a separate line item captioned Special charges in arriving at our consolidated operating income. Special charges consist of expenses associated with certain actions undertaken to reduce fixed costs, simplify or improve processes, and enhance our competitiveness. These charges are of such significance in terms of both up-front costs and organizational/structural impact to require advance approval by our Management Committee, comprised of our senior management, including our Chairman, President, and Chief Executive Officer. Expenses associated with any approved action are classified as special charges upon recognition and monitored on an ongoing basis through completion. Included in Special charges are transaction and integration costs incurred in conjunction with acquisitions and impairments of long-lived assets.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Transaction and Integration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August 31, 2026, we recorded $95.3 million and $160.8 million, respectively, of transaction and integration expenses primarily related to our pending merger with Unilever Foods announced on March 31, 2026, as discussed in Note 2. These charges were incurred to directly support due diligence, deal execution, and integration activities and are primarily comprised of banking, legal, and consulting fees. Additional transaction costs of $12.4 million and $19.2 million for the three and nine months ended August 31, 2026, respectively, were recognized in Interest expense related to the amortization of debt financing fees associated with our pending merger with Unilever Foods.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transaction and integration expenses recorded in 2026 relate to the pending Merger Agreement with Unilever Foods (in millions) for the three and nine months ended August 31, 2026:</w:t>
      </w:r>
    </w:p>
    <w:tbl>
      <w:tblPr>
        <w:tblW w:w="8711" w:type="dxa"/>
        <w:jc w:val="left"/>
        <w:tblInd w:w="0" w:type="dxa"/>
        <w:tblLayout w:type="fixed"/>
        <w:tblCellMar>
          <w:top w:w="28" w:type="dxa"/>
          <w:left w:w="28" w:type="dxa"/>
          <w:bottom w:w="28" w:type="dxa"/>
          <w:right w:w="28" w:type="dxa"/>
        </w:tblCellMar>
      </w:tblPr>
      <w:tblGrid>
        <w:gridCol w:w="1937"/>
        <w:gridCol w:w="1704"/>
        <w:gridCol w:w="1714"/>
        <w:gridCol w:w="345"/>
        <w:gridCol w:w="1007"/>
        <w:gridCol w:w="178"/>
        <w:gridCol w:w="109"/>
        <w:gridCol w:w="109"/>
        <w:gridCol w:w="109"/>
        <w:gridCol w:w="322"/>
        <w:gridCol w:w="942"/>
        <w:gridCol w:w="235"/>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expenses in Special charges</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 included in Interest expense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special charges related to the pending Unilever transaction</w:t>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31, 2026, we recorded $95.3 million of transaction and integration expenses including $94.6 million related to our pending merger with Unilever Foods, which is described above, and $0.7 million related to our acquisition of McCormick de Mexico that closed on January 2,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2026, we recorded $160.8 million of transaction and integration expenses including $152.0 million related to our pending merger with Unilever Foods which is described above and $8.8 million related to our acquisition of McCormick de Mexico that closed on January 2, 2026, as discussed in Note 2. We also recorded $15.0 million in Cost of goods sold related to the step-up of acquired inventory related to the acquisition of McCormick de Mexico.</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31, 2025, we recorded $0.9 million of transaction and integration costs related to the acquisition of Jurado, described in Note 2, which was primarily comprised of transaction costs.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2025, we recorded $1.7 million of transaction and integration costs related to the acquisition of Jurado, described in Note 2, which was primarily comprised of transaction costs.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Asset Impairment</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August 2026, we made the decision to cease operations at our development-stage pepper sourcing and agricultural technology project in Malaysia. The long-term initiative was designed to advance our innovation agenda by applying technology-enabled sourcing practices to help reduce costs and strengthen supply resiliency. However, recent changes in the macroeconomic and supply environment have resulted in less favorable project economics. Our decision to exit this project reflects our disciplined capital allocation strategy and allows resources to be redirected toward higher priority opportunities that management believes will better support long-term value creation. Our August 31, 2026 results reflect a non-cash impairment charge of approximately $43.1 million and exit costs of $1.8 million, which are reflected as Special charges.</w:t>
      </w:r>
    </w:p>
    <w:p>
      <w:pPr>
        <w:pStyle w:val="TextBody"/>
        <w:bidi w:val="0"/>
        <w:spacing w:lineRule="auto" w:line="288"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 Severance and Related Benefits and Other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 to evaluate changes to our organizational structure to reduce fixed costs, simplify or improve processes, and improve our competitiveness.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August 31, 2026, we recorded $1.8 million and $19.8 million, respectively, of employee severance and related benefit costs related to global selling, general and administrative streamlining actions and $1.3 million and $2.9 million, respectively, associated with other actions, including the exit costs incurred to cease operations at our development-stage pepper sourcing and agricultural technology project in Malaysia.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August 31, 2025, we recorded $1.3 million and $12.7 million, respectively, of employee severance and related benefit costs related to global selling, general and administrative streamlining actions and $1.7 million and $2.3 million, respectively, associated with other actions.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and November 30, 2025, special charges of $6.1 million and $4.7 million, respectively, are included in Other accrued liabilities in our consolidated balance sheet.</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FINANCING ARRANGEMENTS AND FINANCIAL INSTRUMENTS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Debt and Credit Facilities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we entered into a 364-day $500 million revolving credit facility, which will expire in January 2027. The current pricing for the 364-day credit facility, on a fully drawn basis, is Term Secured Overnight Financing Rate (SOFR) plus 1.125%. The pricing of the credit facility is based on a credit rating that contains a fully drawn maximum pricing of the credit facility equal to Term SOFR plus 1.50%. The provisions of the revolving credit facility restrict subsidiary indebtedness and require us to maintain a minimum interest coverage ratio, consistent with our five-year $2.0 billion revolving credit facility (the five-year facility). We do not expect this covenant will limit our access to those facilities for the foreseeable future.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issued $500 million aggregate principal amount of 4.15% unsecured senior notes due 2029. Interest is payable semiannually in February and August of each year, beginning in August 2026. The net proceeds received from the issuances of these notes of $497.1 million were used to repay a portion of the outstanding $500 million 0.90% notes due in February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the Bridge Commitment Letter in connection with the financing of the pending transaction with Unilever Foods, pursuant to which the Commitment Parties committed to provide, subject to the terms and conditions set forth therein, the Bridge Facility in an aggregate principal amount of up to $15.7 billion to fund the cash consideration required for the pending transaction. During the three and nine months ended August 31, 2026, we paid $24.0 million and $75.0 million, respectively, of debt financing fees related to the transaction which were deferred in Other assets and are being amortized to Interest expense through the expected term of the commitment. We recognized $12.4 million and $19.2 million of interest expense for the three and nine months ended August 31, 2026, respectively. Effective April 28, 2026, we terminated $2.0 billion of the commitments under the Bridge Facility and entered into a term loan agreement as described below, subject to customary closing conditions for similar facilities.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entered into a term loan agreement (the "Term Loan Agreement") by and among us, the lenders party thereto and Citibank, N.A., as administrative agent (the "Administrative Agent"). The Term Loan Agreement provides us with the ability to borrow up to $2.0 billion (the "Term Loan Facility") at the closing of the pending merger with Unilever Foods (the "Closing Date"), subject to satisfaction of customary closing conditions for similar facilities, for the purpose of financing a portion of the cash consideration to be paid in the pending transaction and paying related fees and expenses in connection therewith. The Term Loan Facility may be funded on the Closing Date or, subject to compliance with certain conditions, on the preceding business day, and matures three years after the Closing Date. Under the Term Loan Agreement, borrowings will bear interest on the principal amount outstanding at a floating rate based on, at our election, (i) Term SOFR (as defined in the Term Loan Agreement) plus an applicable margin based on the credit ratings of our senior unsecured long term debt ranging from 0.75% to 1.50% or (ii) Base Rate (as defined in the Term Loan Agreement) plus an applicable margin based on the credit ratings of our senior unsecured long term debt ranging from 0.00% to 0.50%. The Term Loan Agreement contains a financial covenant requiring us to maintain a minimum interest coverage ratio as well as other non-financial covenants and certain customary events of default.</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we are in compliance with all debt covenants.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Derivative Financial Instruments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use derivative financial instruments to enhance our ability to manage risk, including foreign currency, net investment, commodity, and interest rate exposures, which exist as part of our ongoing business operations. We do not enter into contracts for trading purposes, nor are we a party to any leveraged derivative instrument. We are not a party to master netting arrangements, and we do not offset the fair value of derivative contracts with the same counterparty in our financial statement disclosures. The use of derivative financial instruments is monitored through regular communication with senior management and the use of written guidelines.</w:t>
      </w:r>
    </w:p>
    <w:p>
      <w:pPr>
        <w:pStyle w:val="TextBody"/>
        <w:bidi w:val="0"/>
        <w:spacing w:lineRule="auto" w:line="276" w:before="180" w:after="283"/>
        <w:jc w:val="left"/>
        <w:rPr/>
      </w:pPr>
      <w:r>
        <w:rPr>
          <w:rFonts w:ascii="Times New Roman;serif" w:hAnsi="Times New Roman;serif"/>
          <w:b w:val="false"/>
          <w:i/>
          <w:color w:val="000000"/>
          <w:sz w:val="20"/>
        </w:rPr>
        <w:t>Foreign currency exchange risk.</w:t>
      </w:r>
      <w:r>
        <w:rPr>
          <w:color w:val="000000"/>
        </w:rPr>
        <w:t> </w:t>
      </w:r>
      <w:r>
        <w:rPr>
          <w:rFonts w:ascii="Times New Roman;serif" w:hAnsi="Times New Roman;serif"/>
          <w:b w:val="false"/>
          <w:color w:val="212529"/>
          <w:sz w:val="20"/>
        </w:rPr>
        <w:t xml:space="preserve">We </w:t>
      </w:r>
      <w:r>
        <w:rPr>
          <w:rFonts w:ascii="Times New Roman;serif" w:hAnsi="Times New Roman;serif"/>
          <w:b w:val="false"/>
          <w:color w:val="000000"/>
          <w:sz w:val="20"/>
        </w:rPr>
        <w:t xml:space="preserve">are potentially exposed to foreign currency fluctuations affecting net investments in subsidiaries, transactions (both third-party and intercompany), and earnings denominated in foreign currencies. We assess foreign currency risk based on transactional cash flows and translational volatility and may enter into forward contracts and currency swaps with highly-rated financial institutions to reduce fluctuations in the long or short currency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pPr>
      <w:r>
        <w:rPr>
          <w:rFonts w:ascii="Times New Roman;serif" w:hAnsi="Times New Roman;serif"/>
          <w:b w:val="false"/>
          <w:color w:val="212529"/>
          <w:sz w:val="20"/>
        </w:rPr>
        <w:t xml:space="preserve">The following is a summary of the notional amounts of outstanding foreign currency exchange contracts as of August 31, 2026 and </w:t>
      </w:r>
      <w:r>
        <w:rPr>
          <w:rFonts w:ascii="Times New Roman;serif" w:hAnsi="Times New Roman;serif"/>
          <w:b w:val="false"/>
          <w:color w:val="000000"/>
          <w:sz w:val="20"/>
        </w:rPr>
        <w:t>November 30, 2025</w:t>
      </w:r>
      <w:r>
        <w:rPr>
          <w:color w:val="212529"/>
        </w:rPr>
        <w:t xml:space="preserve"> </w:t>
      </w:r>
      <w:r>
        <w:rPr>
          <w:rFonts w:ascii="Times New Roman;serif" w:hAnsi="Times New Roman;serif"/>
          <w:b w:val="false"/>
          <w:color w:val="212529"/>
          <w:sz w:val="20"/>
        </w:rPr>
        <w:t>(in millions):</w:t>
      </w:r>
    </w:p>
    <w:tbl>
      <w:tblPr>
        <w:tblW w:w="8682" w:type="dxa"/>
        <w:jc w:val="left"/>
        <w:tblInd w:w="0" w:type="dxa"/>
        <w:tblLayout w:type="fixed"/>
        <w:tblCellMar>
          <w:top w:w="28" w:type="dxa"/>
          <w:left w:w="28" w:type="dxa"/>
          <w:bottom w:w="28" w:type="dxa"/>
          <w:right w:w="28" w:type="dxa"/>
        </w:tblCellMar>
      </w:tblPr>
      <w:tblGrid>
        <w:gridCol w:w="1997"/>
        <w:gridCol w:w="1758"/>
        <w:gridCol w:w="1765"/>
        <w:gridCol w:w="247"/>
        <w:gridCol w:w="900"/>
        <w:gridCol w:w="128"/>
        <w:gridCol w:w="109"/>
        <w:gridCol w:w="109"/>
        <w:gridCol w:w="109"/>
        <w:gridCol w:w="291"/>
        <w:gridCol w:w="1057"/>
        <w:gridCol w:w="212"/>
      </w:tblGrid>
      <w:tr>
        <w:trPr/>
        <w:tc>
          <w:tcPr>
            <w:tcW w:w="199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 not designated as hedging instruments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pPr>
      <w:r>
        <w:rPr>
          <w:rFonts w:ascii="Times New Roman;serif" w:hAnsi="Times New Roman;serif"/>
          <w:b w:val="false"/>
          <w:color w:val="212529"/>
          <w:sz w:val="20"/>
        </w:rPr>
        <w:t xml:space="preserve">As a matter of policy, all cash flow hedges are designated for hedge accounting on the trade date of the derivative. However, certain cash flow hedges are de-designated at the anticipated transaction date and subsequently marked-to-market through earnings until maturity. </w:t>
      </w:r>
      <w:r>
        <w:rPr>
          <w:rFonts w:ascii="Times New Roman;serif" w:hAnsi="Times New Roman;serif"/>
          <w:b w:val="false"/>
          <w:color w:val="000000"/>
          <w:sz w:val="20"/>
        </w:rPr>
        <w:t>For the nine months ended August 31, 2026, derivatives not designated as hedging instruments consisted primarily of foreign exchange contracts. Foreign exchange contracts not designated as hedging instruments resulted in a net gain of $0.8 million and $1.4 million in the three and nine months ended August 31, 2026, respectively, recognized in Cost of goods sold, reflecting the effect of exchange rate movements associated with purchases denominated in U.S. dollars.</w:t>
      </w:r>
    </w:p>
    <w:p>
      <w:pPr>
        <w:pStyle w:val="TextBody"/>
        <w:bidi w:val="0"/>
        <w:spacing w:lineRule="auto" w:line="276" w:before="180" w:after="283"/>
        <w:jc w:val="left"/>
        <w:rPr/>
      </w:pPr>
      <w:r>
        <w:rPr>
          <w:rFonts w:ascii="Times New Roman;serif" w:hAnsi="Times New Roman;serif"/>
          <w:b w:val="false"/>
          <w:color w:val="212529"/>
          <w:sz w:val="20"/>
        </w:rPr>
        <w:t xml:space="preserve">The fair value and cash flow hedges were designated as hedges of foreign currency denominated assets or liabilities or hedges of anticipated purchases denominated in a foreign currency. </w:t>
      </w:r>
      <w:r>
        <w:rPr>
          <w:rFonts w:ascii="Times New Roman;serif" w:hAnsi="Times New Roman;serif"/>
          <w:b w:val="false"/>
          <w:color w:val="000000"/>
          <w:sz w:val="20"/>
        </w:rPr>
        <w:t>Hedge ineffectiveness was not material. All foreign currency exchange contracts generally have durations of less than 18 months. At August 31, 2026, $227.2 million of notional contracts had an initial duration of less than one month and are used to hedge short-term cash flow funding.</w:t>
      </w:r>
    </w:p>
    <w:p>
      <w:pPr>
        <w:pStyle w:val="TextBody"/>
        <w:bidi w:val="0"/>
        <w:spacing w:lineRule="auto" w:line="276" w:before="180" w:after="283"/>
        <w:jc w:val="left"/>
        <w:rPr/>
      </w:pPr>
      <w:r>
        <w:rPr>
          <w:rFonts w:ascii="Times New Roman;serif" w:hAnsi="Times New Roman;serif"/>
          <w:b w:val="false"/>
          <w:color w:val="212529"/>
          <w:sz w:val="20"/>
        </w:rPr>
        <w:t xml:space="preserve">Contracts which are designated as hedges of foreign currency denominated assets are accounted for as fair value hedges. </w:t>
      </w:r>
      <w:r>
        <w:rPr>
          <w:rFonts w:ascii="Times New Roman;serif" w:hAnsi="Times New Roman;serif"/>
          <w:b w:val="false"/>
          <w:color w:val="212529"/>
          <w:sz w:val="20"/>
          <w:shd w:fill="FFFFFF" w:val="clear"/>
        </w:rPr>
        <w:t xml:space="preserve">These foreign currency exchange contracts </w:t>
      </w:r>
      <w:r>
        <w:rPr>
          <w:rFonts w:ascii="Times New Roman;serif" w:hAnsi="Times New Roman;serif"/>
          <w:b w:val="false"/>
          <w:color w:val="000000"/>
          <w:sz w:val="20"/>
        </w:rPr>
        <w:t xml:space="preserve">manage both exposure to currency fluctuations in certain intercompany loans between subsidiaries as well as currency exposure to third-party non-functional currency assets or liabilities. Gains and losses from contracts that are designated as hedges of assets, liabilities, or firm commitments are recognized through income, offsetting the change in fair value of the hedged item. Contracts which are designated as hedges of anticipated purchases denominated in a foreign currency (generally purchases of inventory in U.S. dollars by operating units outside the U.S.) are accounted for as cash flow hedges. The gains and losses on these contracts are deferred in accumulated other comprehensive income until the hedged item is recognized in cost of goods sold, at which time the net amount deferred in accumulated other comprehensive income is also recognized in cost of goods sold. Contracts which are not designated as hedging instruments are marked-to-market, with changes in unrealized gain or loss recognized in earnings.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also utilize cross currency interest rate swap contracts that are designated as net investment hedges. Any gains or losses on net investment hedges are included in foreign currency translation adjustments in Accumulated other comprehensive loss. Net interest accruals excluded from the assessment of hedge effectiveness are included in earnings as interest expense.</w:t>
      </w:r>
    </w:p>
    <w:p>
      <w:pPr>
        <w:pStyle w:val="TextBody"/>
        <w:bidi w:val="0"/>
        <w:spacing w:lineRule="auto" w:line="276" w:before="180" w:after="283"/>
        <w:jc w:val="left"/>
        <w:rPr/>
      </w:pPr>
      <w:r>
        <w:rPr>
          <w:rFonts w:ascii="Times New Roman;serif" w:hAnsi="Times New Roman;serif"/>
          <w:b w:val="false"/>
          <w:i/>
          <w:color w:val="000000"/>
          <w:sz w:val="20"/>
        </w:rPr>
        <w:t>Interest rate risk.</w:t>
      </w:r>
      <w:r>
        <w:rPr>
          <w:color w:val="000000"/>
        </w:rPr>
        <w:t> </w:t>
      </w:r>
      <w:r>
        <w:rPr>
          <w:rFonts w:ascii="Times New Roman;serif" w:hAnsi="Times New Roman;serif"/>
          <w:b w:val="false"/>
          <w:color w:val="000000"/>
          <w:sz w:val="20"/>
        </w:rPr>
        <w:t xml:space="preserve">We finance a portion of our operations with both fixed and variable rate debt instruments, principally commercial paper, notes, and bank loans. We utilize interest rate derivative contracts, including interest rate swap agreements, to minimize worldwide financing costs and to achieve a desired mix of variable and fixed rate debt. </w:t>
      </w:r>
    </w:p>
    <w:p>
      <w:pPr>
        <w:pStyle w:val="TextBody"/>
        <w:bidi w:val="0"/>
        <w:spacing w:lineRule="auto" w:line="276" w:before="180" w:after="283"/>
        <w:jc w:val="left"/>
        <w:rPr/>
      </w:pPr>
      <w:r>
        <w:rPr>
          <w:rFonts w:ascii="Times New Roman;serif" w:hAnsi="Times New Roman;serif"/>
          <w:b w:val="false"/>
          <w:i/>
          <w:color w:val="000000"/>
          <w:sz w:val="20"/>
        </w:rPr>
        <w:t>Commodity price risk</w:t>
      </w:r>
      <w:r>
        <w:rPr>
          <w:rFonts w:ascii="Times New Roman;serif" w:hAnsi="Times New Roman;serif"/>
          <w:b w:val="false"/>
          <w:color w:val="000000"/>
          <w:sz w:val="20"/>
        </w:rPr>
        <w:t>. We purchase certain raw materials which are subject to price volatility caused by weather, market conditions, growing and harvesting conditions, governmental actions, and other factors beyond our control. While future movements of raw material costs are uncertain, we respond to this volatility in a number of ways, including strategic raw material purchases, purchases of raw material for future delivery, and customer price adjustments. With the exception of soybean oil, we generally do not use derivatives to manage price volatility. We utilize commodity contracts, including commodity futures, options, and over-the counter swaps to manage price risk for soybean oil. These commodity contracts are designated as cash flow hedges. Generally, we hedge a portion of our anticipated consumption of soybean oil inputs for periods of up to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discloses the notional amount and fair values of derivative instruments on our balance sheet (in millions):</w:t>
      </w:r>
    </w:p>
    <w:tbl>
      <w:tblPr>
        <w:tblW w:w="10205" w:type="dxa"/>
        <w:jc w:val="left"/>
        <w:tblInd w:w="0" w:type="dxa"/>
        <w:tblLayout w:type="fixed"/>
        <w:tblCellMar>
          <w:top w:w="28" w:type="dxa"/>
          <w:left w:w="28" w:type="dxa"/>
          <w:bottom w:w="28" w:type="dxa"/>
          <w:right w:w="28" w:type="dxa"/>
        </w:tblCellMar>
      </w:tblPr>
      <w:tblGrid>
        <w:gridCol w:w="703"/>
        <w:gridCol w:w="374"/>
        <w:gridCol w:w="376"/>
        <w:gridCol w:w="621"/>
        <w:gridCol w:w="621"/>
        <w:gridCol w:w="628"/>
        <w:gridCol w:w="109"/>
        <w:gridCol w:w="109"/>
        <w:gridCol w:w="109"/>
        <w:gridCol w:w="211"/>
        <w:gridCol w:w="406"/>
        <w:gridCol w:w="109"/>
        <w:gridCol w:w="109"/>
        <w:gridCol w:w="109"/>
        <w:gridCol w:w="109"/>
        <w:gridCol w:w="211"/>
        <w:gridCol w:w="511"/>
        <w:gridCol w:w="109"/>
        <w:gridCol w:w="109"/>
        <w:gridCol w:w="109"/>
        <w:gridCol w:w="109"/>
        <w:gridCol w:w="655"/>
        <w:gridCol w:w="649"/>
        <w:gridCol w:w="569"/>
        <w:gridCol w:w="109"/>
        <w:gridCol w:w="109"/>
        <w:gridCol w:w="109"/>
        <w:gridCol w:w="211"/>
        <w:gridCol w:w="616"/>
        <w:gridCol w:w="109"/>
        <w:gridCol w:w="109"/>
        <w:gridCol w:w="109"/>
        <w:gridCol w:w="109"/>
        <w:gridCol w:w="211"/>
        <w:gridCol w:w="511"/>
        <w:gridCol w:w="159"/>
      </w:tblGrid>
      <w:tr>
        <w:trPr/>
        <w:tc>
          <w:tcPr>
            <w:tcW w:w="70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Liability Derivatives</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w:t>
              <w:b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w:t>
              <w:b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w:t>
              <w:br/>
              <w:t>value</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August 31, 2026</w:t>
            </w:r>
          </w:p>
        </w:tc>
        <w:tc>
          <w:tcPr>
            <w:tcW w:w="1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 /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accrued liabilities /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w:t>
              <w:b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 /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accrued liabilities /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 /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accrued liabilities /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November 30, 2025</w:t>
            </w:r>
          </w:p>
        </w:tc>
        <w:tc>
          <w:tcPr>
            <w:tcW w:w="1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 /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accrued liabilities /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 /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accrued liabilities /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impact of derivative instruments on our other comprehensive income (OCI), accumulated other comprehensive income (AOCI), and our consolidated income statement for the three and nine months ended August 31, 2026 and 2025 (in millions):</w:t>
      </w:r>
    </w:p>
    <w:tbl>
      <w:tblPr>
        <w:tblW w:w="8878" w:type="dxa"/>
        <w:jc w:val="left"/>
        <w:tblInd w:w="0" w:type="dxa"/>
        <w:tblLayout w:type="fixed"/>
        <w:tblCellMar>
          <w:top w:w="28" w:type="dxa"/>
          <w:left w:w="28" w:type="dxa"/>
          <w:bottom w:w="28" w:type="dxa"/>
          <w:right w:w="28" w:type="dxa"/>
        </w:tblCellMar>
      </w:tblPr>
      <w:tblGrid>
        <w:gridCol w:w="668"/>
        <w:gridCol w:w="586"/>
        <w:gridCol w:w="591"/>
        <w:gridCol w:w="109"/>
        <w:gridCol w:w="109"/>
        <w:gridCol w:w="109"/>
        <w:gridCol w:w="469"/>
        <w:gridCol w:w="469"/>
        <w:gridCol w:w="471"/>
        <w:gridCol w:w="109"/>
        <w:gridCol w:w="109"/>
        <w:gridCol w:w="109"/>
        <w:gridCol w:w="277"/>
        <w:gridCol w:w="534"/>
        <w:gridCol w:w="143"/>
        <w:gridCol w:w="143"/>
        <w:gridCol w:w="143"/>
        <w:gridCol w:w="143"/>
        <w:gridCol w:w="277"/>
        <w:gridCol w:w="534"/>
        <w:gridCol w:w="143"/>
        <w:gridCol w:w="109"/>
        <w:gridCol w:w="109"/>
        <w:gridCol w:w="109"/>
        <w:gridCol w:w="252"/>
        <w:gridCol w:w="486"/>
        <w:gridCol w:w="130"/>
        <w:gridCol w:w="130"/>
        <w:gridCol w:w="130"/>
        <w:gridCol w:w="130"/>
        <w:gridCol w:w="252"/>
        <w:gridCol w:w="612"/>
        <w:gridCol w:w="18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Expense </w:t>
            </w:r>
          </w:p>
        </w:tc>
      </w:tr>
      <w:tr>
        <w:trPr/>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608"/>
        <w:gridCol w:w="536"/>
        <w:gridCol w:w="538"/>
        <w:gridCol w:w="466"/>
        <w:gridCol w:w="466"/>
        <w:gridCol w:w="468"/>
        <w:gridCol w:w="232"/>
        <w:gridCol w:w="502"/>
        <w:gridCol w:w="119"/>
        <w:gridCol w:w="119"/>
        <w:gridCol w:w="119"/>
        <w:gridCol w:w="119"/>
        <w:gridCol w:w="232"/>
        <w:gridCol w:w="617"/>
        <w:gridCol w:w="119"/>
        <w:gridCol w:w="436"/>
        <w:gridCol w:w="436"/>
        <w:gridCol w:w="441"/>
        <w:gridCol w:w="466"/>
        <w:gridCol w:w="466"/>
        <w:gridCol w:w="468"/>
        <w:gridCol w:w="236"/>
        <w:gridCol w:w="513"/>
        <w:gridCol w:w="122"/>
        <w:gridCol w:w="122"/>
        <w:gridCol w:w="122"/>
        <w:gridCol w:w="122"/>
        <w:gridCol w:w="236"/>
        <w:gridCol w:w="573"/>
        <w:gridCol w:w="186"/>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statement location</w:t>
            </w:r>
          </w:p>
        </w:tc>
        <w:tc>
          <w:tcPr>
            <w:tcW w:w="21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(loss) recognized in income</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statement location</w:t>
            </w:r>
          </w:p>
        </w:tc>
        <w:tc>
          <w:tcPr>
            <w:tcW w:w="22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(loss) recognized in income</w:t>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w:t>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Hedged item</w:t>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loans</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loans</w:t>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8992" w:type="dxa"/>
        <w:jc w:val="left"/>
        <w:tblInd w:w="0" w:type="dxa"/>
        <w:tblLayout w:type="fixed"/>
        <w:tblCellMar>
          <w:top w:w="28" w:type="dxa"/>
          <w:left w:w="28" w:type="dxa"/>
          <w:bottom w:w="28" w:type="dxa"/>
          <w:right w:w="28" w:type="dxa"/>
        </w:tblCellMar>
      </w:tblPr>
      <w:tblGrid>
        <w:gridCol w:w="852"/>
        <w:gridCol w:w="747"/>
        <w:gridCol w:w="755"/>
        <w:gridCol w:w="109"/>
        <w:gridCol w:w="109"/>
        <w:gridCol w:w="109"/>
        <w:gridCol w:w="211"/>
        <w:gridCol w:w="511"/>
        <w:gridCol w:w="109"/>
        <w:gridCol w:w="109"/>
        <w:gridCol w:w="109"/>
        <w:gridCol w:w="109"/>
        <w:gridCol w:w="211"/>
        <w:gridCol w:w="481"/>
        <w:gridCol w:w="109"/>
        <w:gridCol w:w="109"/>
        <w:gridCol w:w="109"/>
        <w:gridCol w:w="109"/>
        <w:gridCol w:w="539"/>
        <w:gridCol w:w="539"/>
        <w:gridCol w:w="541"/>
        <w:gridCol w:w="109"/>
        <w:gridCol w:w="109"/>
        <w:gridCol w:w="109"/>
        <w:gridCol w:w="211"/>
        <w:gridCol w:w="586"/>
        <w:gridCol w:w="109"/>
        <w:gridCol w:w="109"/>
        <w:gridCol w:w="109"/>
        <w:gridCol w:w="109"/>
        <w:gridCol w:w="211"/>
        <w:gridCol w:w="48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(loss)</w:t>
              <w:br/>
              <w:t>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(loss)</w:t>
              <w:br/>
              <w:t>reclassified from AOCI</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31, 2026, the net amount of Accumulated other comprehensive loss associated with all cash flow, settled interest rate cash flow hedge derivatives, and commodity contracts expected to be reclassified in the next 12 months is a $49.3 million decrease 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2"/>
        <w:gridCol w:w="678"/>
        <w:gridCol w:w="680"/>
        <w:gridCol w:w="109"/>
        <w:gridCol w:w="109"/>
        <w:gridCol w:w="109"/>
        <w:gridCol w:w="211"/>
        <w:gridCol w:w="470"/>
        <w:gridCol w:w="109"/>
        <w:gridCol w:w="109"/>
        <w:gridCol w:w="109"/>
        <w:gridCol w:w="109"/>
        <w:gridCol w:w="211"/>
        <w:gridCol w:w="575"/>
        <w:gridCol w:w="109"/>
        <w:gridCol w:w="109"/>
        <w:gridCol w:w="109"/>
        <w:gridCol w:w="109"/>
        <w:gridCol w:w="434"/>
        <w:gridCol w:w="432"/>
        <w:gridCol w:w="434"/>
        <w:gridCol w:w="109"/>
        <w:gridCol w:w="109"/>
        <w:gridCol w:w="109"/>
        <w:gridCol w:w="436"/>
        <w:gridCol w:w="840"/>
        <w:gridCol w:w="225"/>
        <w:gridCol w:w="225"/>
        <w:gridCol w:w="225"/>
        <w:gridCol w:w="225"/>
        <w:gridCol w:w="436"/>
        <w:gridCol w:w="840"/>
        <w:gridCol w:w="330"/>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Investment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(loss)</w:t>
              <w:br/>
              <w:t>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statement</w:t>
              <w:b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Gain excluded from the assessment of hedge effectiveness</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For all net investment hedges, no amounts have been reclassified out of accumulated other comprehensive loss. The amounts noted in the tables above for OCI do not include any adjustments for the impact of deferred income taxes.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Sale Program</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maintain a non-recourse accounts receivable sale program whereby certain eligible U.S. receivables are sold to a third-party financial institution in exchange for cash. The program provides us with an additional means for managing liquidity. We account for the transfer of receivables as a sale at the point control is transferred and remove the sold receivables from our condensed consolidated balance sheet. The proceeds from the sales of receivables are included in cash from operating activities in the consolidated statement of cash flows. Under the terms of the arrangement, we act as the collecting agent on behalf of the financial institution for sold receivables of $432.7 million and $430.0 million as of August 31, 2026 and November 30, 2025, respectively. As collecting agent, we had $67.1 million and $45.4 million of cash collected that was not yet remitted to the third-party financial institution as of August 31, 2026 and November 30, 2025, respectively. This obligation is reported within Other accrued liabilities on the consolidated balance sheet and within cash flows from financing activities on the consolidated cash flow statement. For the three and nine months ended August 31, 2026, the incremental costs of the receivable sale program totaled $4.9 million and $13.8 million, respectively, and were recognized as a reduction of Net sales. For the three and nine months ended August 31, 2025, the incremental costs of the receivable sale program totaled $4.3 million and $12.3 million, respectively.</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LEASES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August 2026, we amended the synthetic lease arrangement associated with our largest distribution facility in the U.S. mid-Atlantic region. The amendment extended the contractual expiration date from November 2027 to August 2031, revised the payment structure, and modified our residual value guarantee to $297.9 million. Given the change in the residual value guarantee, we reclassified the modified lease from an operating lease to a finance lease.</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accounted for the amendment as a modification of the existing lease and remeasured the lease liability using an updated incremental borrowing rate. We do not believe it is probable that amounts will be owed under the guarantee. Therefore, no amounts related to the residual value guarantee are included in the lease payments used to measure the right-of-use assets and lease liabilities.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the finance lease right of use asset was $72.6 million recorded in Property, plant and equipment, net and the recognized finance lease liability was $73.1 million, of which $13.1 million was included in Current portion of long-term debt and $60.0 million was included in Long-term debt on our condensed consolidated balance sheet. As of November 30, 2025, when classified as an operating lease, the total right of use asset associated with this facility was $34.5 million recorded in Other long-term assets with a related lease obligation of $35.6 million, of which $17.5 million was included in Other accrued liabilities and $18.1 million was included in Other long-term liabilities. The lease amendment was signed at the end of the third quarter and the reclassification to a finance lease generated noncash investing and financing activities for the amounts described above. There was no cash exchanged in connection with the amendment.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6.    FAIR VALUE MEASUREMENT</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Fair value can be measured using valuation techniques, such as the market approach (comparable market prices), the income approach (present value of future income or cash flow), and the cost approach (cost to replace the service capacity of an asset or replacement cost). Accounting standards utilize a fair value hierarchy that prioritizes the inputs to valuation techniques used to measure fair value into three broad levels. The following is a brief description of those three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ind w:left="0" w:right="0" w:hanging="540"/>
        <w:jc w:val="left"/>
        <w:rPr/>
      </w:pPr>
      <w:r>
        <w:rPr>
          <w:color w:val="000000"/>
        </w:rPr>
        <w:t>•</w:t>
      </w:r>
      <w:r>
        <w:rPr>
          <w:rFonts w:ascii="Times New Roman;serif" w:hAnsi="Times New Roman;serif"/>
          <w:b w:val="false"/>
          <w:color w:val="000000"/>
          <w:sz w:val="20"/>
        </w:rPr>
        <w:t>Level 1: Observable inputs such as quoted prices (unadjusted) in active markets for identical assets or liabilities.</w:t>
      </w:r>
    </w:p>
    <w:p>
      <w:pPr>
        <w:pStyle w:val="TextBody"/>
        <w:bidi w:val="0"/>
        <w:spacing w:lineRule="auto" w:line="276" w:before="180" w:after="283"/>
        <w:ind w:left="0" w:right="0" w:hanging="540"/>
        <w:jc w:val="left"/>
        <w:rPr/>
      </w:pPr>
      <w:r>
        <w:rPr>
          <w:color w:val="000000"/>
        </w:rPr>
        <w:t>•</w:t>
      </w:r>
      <w:r>
        <w:rPr>
          <w:rFonts w:ascii="Times New Roman;serif" w:hAnsi="Times New Roman;serif"/>
          <w:b w:val="false"/>
          <w:color w:val="000000"/>
          <w:sz w:val="20"/>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lineRule="auto" w:line="276" w:before="180" w:after="283"/>
        <w:ind w:left="0" w:right="0" w:hanging="540"/>
        <w:jc w:val="left"/>
        <w:rPr/>
      </w:pPr>
      <w:r>
        <w:rPr>
          <w:color w:val="000000"/>
        </w:rPr>
        <w:t>•</w:t>
      </w:r>
      <w:r>
        <w:rPr>
          <w:rFonts w:ascii="Times New Roman;serif" w:hAnsi="Times New Roman;serif"/>
          <w:b w:val="false"/>
          <w:color w:val="000000"/>
          <w:sz w:val="20"/>
        </w:rPr>
        <w:t>Level 3: Unobservable inputs that reflect management's own assumptions.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At August 31, 2026 and November 30, 2025, we had no financial assets or liabilities that were subject to a level 3 fair value measurement. Our population of financial assets and liabilities subject to fair value measurements on a recurring basis are as follows (in millions):</w:t>
      </w:r>
    </w:p>
    <w:tbl>
      <w:tblPr>
        <w:tblW w:w="7681" w:type="dxa"/>
        <w:jc w:val="left"/>
        <w:tblInd w:w="0" w:type="dxa"/>
        <w:tblLayout w:type="fixed"/>
        <w:tblCellMar>
          <w:top w:w="28" w:type="dxa"/>
          <w:left w:w="28" w:type="dxa"/>
          <w:bottom w:w="28" w:type="dxa"/>
          <w:right w:w="28" w:type="dxa"/>
        </w:tblCellMar>
      </w:tblPr>
      <w:tblGrid>
        <w:gridCol w:w="1311"/>
        <w:gridCol w:w="1154"/>
        <w:gridCol w:w="116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Bonds and money market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Commodity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lineRule="auto" w:line="288" w:before="0" w:after="0"/>
        <w:jc w:val="left"/>
        <w:rPr>
          <w:color w:val="000000"/>
        </w:rPr>
      </w:pPr>
      <w:r>
        <w:rPr>
          <w:color w:val="000000"/>
        </w:rPr>
        <w:t> </w:t>
      </w:r>
    </w:p>
    <w:tbl>
      <w:tblPr>
        <w:tblW w:w="7576" w:type="dxa"/>
        <w:jc w:val="left"/>
        <w:tblInd w:w="0" w:type="dxa"/>
        <w:tblLayout w:type="fixed"/>
        <w:tblCellMar>
          <w:top w:w="28" w:type="dxa"/>
          <w:left w:w="28" w:type="dxa"/>
          <w:bottom w:w="28" w:type="dxa"/>
          <w:right w:w="28" w:type="dxa"/>
        </w:tblCellMar>
      </w:tblPr>
      <w:tblGrid>
        <w:gridCol w:w="1311"/>
        <w:gridCol w:w="1154"/>
        <w:gridCol w:w="1164"/>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54"/>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Bonds and money market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August 31, 2026 and November 30, 2025, the carrying amounts of cash and cash equivalents, interest rate derivatives, foreign currency derivatives, cross currency contracts, commodity contracts, insurance contracts, and bonds and money market fund investments were equal to their respective fair values. Because of their short-term nature, the amounts reported in the balance sheet for cash and cash equivalents, trade accounts receivables, short-term borrowings, and trade accounts payable approximate fair value. Investments in affiliates are not readily marketable, and it is not practicable to estimate their fair value.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Insurance contracts and bonds and money market fund investments are comprised of fixed income and equity securities held for certain non-qualified U.S. employee benefit plans and are stated at fair value on the balance sheet. The fair values of insurance contracts and bonds and money market fund investments are based upon the underlying values of the securities in which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are invested and are from quoted market prices from various stock and bond exchanges for similar type assets. The fair values for interest rate derivatives, foreign currency derivatives, cross currency contracts, and commodity contracts are based on values for similar instruments using models with market-based inputs.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amounts and fair values of our long-term debt including the current portion thereof (in millions):</w:t>
      </w:r>
    </w:p>
    <w:tbl>
      <w:tblPr>
        <w:tblW w:w="5652" w:type="dxa"/>
        <w:jc w:val="left"/>
        <w:tblInd w:w="0" w:type="dxa"/>
        <w:tblLayout w:type="fixed"/>
        <w:tblCellMar>
          <w:top w:w="28" w:type="dxa"/>
          <w:left w:w="28" w:type="dxa"/>
          <w:bottom w:w="28" w:type="dxa"/>
          <w:right w:w="28" w:type="dxa"/>
        </w:tblCellMar>
      </w:tblPr>
      <w:tblGrid>
        <w:gridCol w:w="900"/>
        <w:gridCol w:w="793"/>
        <w:gridCol w:w="797"/>
        <w:gridCol w:w="247"/>
        <w:gridCol w:w="900"/>
        <w:gridCol w:w="128"/>
        <w:gridCol w:w="109"/>
        <w:gridCol w:w="109"/>
        <w:gridCol w:w="109"/>
        <w:gridCol w:w="291"/>
        <w:gridCol w:w="1057"/>
        <w:gridCol w:w="212"/>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valuation techniques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valuation techniques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3,492.2 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3,505.9 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for Level 2 long-term debt is determined by using quoted prices for similar debt instruments.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    EMPLOYEE BENEFIT AND RETIREMENT PLANS    </w:t>
      </w:r>
    </w:p>
    <w:p>
      <w:pPr>
        <w:pStyle w:val="TextBody"/>
        <w:bidi w:val="0"/>
        <w:spacing w:lineRule="auto" w:line="276" w:before="180" w:after="283"/>
        <w:jc w:val="left"/>
        <w:rPr>
          <w:rFonts w:ascii="Times New Roman;serif" w:hAnsi="Times New Roman;serif"/>
          <w:b w:val="false"/>
          <w:color w:val="212529"/>
          <w:sz w:val="20"/>
        </w:rPr>
      </w:pPr>
      <w:r>
        <w:rPr>
          <w:rFonts w:ascii="Times New Roman;serif" w:hAnsi="Times New Roman;serif"/>
          <w:b w:val="false"/>
          <w:color w:val="212529"/>
          <w:sz w:val="20"/>
        </w:rPr>
        <w:t>We sponsor defined benefit pension plans in the U.S. and certain foreign locations. Additionally, we sponsor defined contribution plans in the U.S. and contribute to defined contribution plans in various locations outside the U.S., including government-sponsored retirement plans. We also provide postretirement medical and life insurance benefits to certain U.S. employees and retirees. We previously froze the accrual of future benefits under certain defined benefit pension plans in the U.S. and certain foreign locations. Although our defined benefit plans in the U.S., United Kingdom (UK), and Canada have generally been frozen, employees who are participants in the plans retained benefits accumulated up to the date of the freeze, based on credited service and eligible earnings, in accordance with the terms of the plans.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pension expense (income) and other postretirement benefits expense for the three and nine months ended August 31, 2026 and 2025 (in millions):</w:t>
      </w:r>
    </w:p>
    <w:tbl>
      <w:tblPr>
        <w:tblW w:w="10104" w:type="dxa"/>
        <w:jc w:val="left"/>
        <w:tblInd w:w="0" w:type="dxa"/>
        <w:tblLayout w:type="fixed"/>
        <w:tblCellMar>
          <w:top w:w="28" w:type="dxa"/>
          <w:left w:w="28" w:type="dxa"/>
          <w:bottom w:w="28" w:type="dxa"/>
          <w:right w:w="28" w:type="dxa"/>
        </w:tblCellMar>
      </w:tblPr>
      <w:tblGrid>
        <w:gridCol w:w="1295"/>
        <w:gridCol w:w="1141"/>
        <w:gridCol w:w="1148"/>
        <w:gridCol w:w="211"/>
        <w:gridCol w:w="406"/>
        <w:gridCol w:w="109"/>
        <w:gridCol w:w="109"/>
        <w:gridCol w:w="109"/>
        <w:gridCol w:w="109"/>
        <w:gridCol w:w="211"/>
        <w:gridCol w:w="406"/>
        <w:gridCol w:w="109"/>
        <w:gridCol w:w="109"/>
        <w:gridCol w:w="109"/>
        <w:gridCol w:w="109"/>
        <w:gridCol w:w="211"/>
        <w:gridCol w:w="481"/>
        <w:gridCol w:w="109"/>
        <w:gridCol w:w="109"/>
        <w:gridCol w:w="109"/>
        <w:gridCol w:w="109"/>
        <w:gridCol w:w="211"/>
        <w:gridCol w:w="481"/>
        <w:gridCol w:w="109"/>
        <w:gridCol w:w="109"/>
        <w:gridCol w:w="109"/>
        <w:gridCol w:w="109"/>
        <w:gridCol w:w="249"/>
        <w:gridCol w:w="481"/>
        <w:gridCol w:w="129"/>
        <w:gridCol w:w="129"/>
        <w:gridCol w:w="129"/>
        <w:gridCol w:w="129"/>
        <w:gridCol w:w="249"/>
        <w:gridCol w:w="481"/>
        <w:gridCol w:w="182"/>
      </w:tblGrid>
      <w:tr>
        <w:trPr/>
        <w:tc>
          <w:tcPr>
            <w:tcW w:w="129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 postretirement benefits</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 (gains)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losses (gains)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2026 and 2025, we contributed $6.1 million and $7.2 million, respectively, to our pension plans. Total contributions to our pension plans in fiscal year 2025 were $9.2 million.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amounts in the tables above for pension expense (income) and other postretirement benefits expense, other than service cost, were included in Other income, net within our consolidated income statements. The net aggregate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 income, excluding service cost components, was $(1.1) million and $(1.2) million for the three months ended August 31, 2026 and 2025, respectively, and $(3.3) million and $(3.5) million for the nine months ended August 31, 2026 and 2025, respectively.</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    STOCK-BASED COMPENSATION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three types of stock-based compensation awards: restricted stock units (RSUs), stock options, and company stock awarded as part of our long-term performance plan (LTPP). The following table sets forth the stock-based compensation expense recorded in Selling, general and administrative (SG&amp;A) expense (in millions):</w:t>
      </w:r>
    </w:p>
    <w:tbl>
      <w:tblPr>
        <w:tblW w:w="7968" w:type="dxa"/>
        <w:jc w:val="left"/>
        <w:tblInd w:w="0" w:type="dxa"/>
        <w:tblLayout w:type="fixed"/>
        <w:tblCellMar>
          <w:top w:w="28" w:type="dxa"/>
          <w:left w:w="28" w:type="dxa"/>
          <w:bottom w:w="28" w:type="dxa"/>
          <w:right w:w="28" w:type="dxa"/>
        </w:tblCellMar>
      </w:tblPr>
      <w:tblGrid>
        <w:gridCol w:w="1087"/>
        <w:gridCol w:w="954"/>
        <w:gridCol w:w="959"/>
        <w:gridCol w:w="277"/>
        <w:gridCol w:w="534"/>
        <w:gridCol w:w="143"/>
        <w:gridCol w:w="143"/>
        <w:gridCol w:w="143"/>
        <w:gridCol w:w="143"/>
        <w:gridCol w:w="277"/>
        <w:gridCol w:w="534"/>
        <w:gridCol w:w="143"/>
        <w:gridCol w:w="109"/>
        <w:gridCol w:w="109"/>
        <w:gridCol w:w="109"/>
        <w:gridCol w:w="239"/>
        <w:gridCol w:w="580"/>
        <w:gridCol w:w="123"/>
        <w:gridCol w:w="123"/>
        <w:gridCol w:w="123"/>
        <w:gridCol w:w="123"/>
        <w:gridCol w:w="239"/>
        <w:gridCol w:w="580"/>
        <w:gridCol w:w="1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Our 2026 annual grant consisted of RSUs and stock awarded under our LTPP and occurred in the first quarter, similar to the 2025 annual grant. Substantially all of the RSUs granted in 2026 and 2025 vest ratably over a three-year period or, if earlier, upon the holder’s retirement eligibility date. Stock awarded under our LTPP vest ratably over a three-year period.</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stock option activity for the nine months ended August 31, 2026 and 2025:</w:t>
      </w:r>
    </w:p>
    <w:tbl>
      <w:tblPr>
        <w:tblW w:w="7294" w:type="dxa"/>
        <w:jc w:val="left"/>
        <w:tblInd w:w="0" w:type="dxa"/>
        <w:tblLayout w:type="fixed"/>
        <w:tblCellMar>
          <w:top w:w="28" w:type="dxa"/>
          <w:left w:w="28" w:type="dxa"/>
          <w:bottom w:w="28" w:type="dxa"/>
          <w:right w:w="28" w:type="dxa"/>
        </w:tblCellMar>
      </w:tblPr>
      <w:tblGrid>
        <w:gridCol w:w="1082"/>
        <w:gridCol w:w="949"/>
        <w:gridCol w:w="953"/>
        <w:gridCol w:w="240"/>
        <w:gridCol w:w="240"/>
        <w:gridCol w:w="226"/>
        <w:gridCol w:w="109"/>
        <w:gridCol w:w="109"/>
        <w:gridCol w:w="109"/>
        <w:gridCol w:w="211"/>
        <w:gridCol w:w="616"/>
        <w:gridCol w:w="109"/>
        <w:gridCol w:w="109"/>
        <w:gridCol w:w="109"/>
        <w:gridCol w:w="109"/>
        <w:gridCol w:w="240"/>
        <w:gridCol w:w="240"/>
        <w:gridCol w:w="226"/>
        <w:gridCol w:w="109"/>
        <w:gridCol w:w="109"/>
        <w:gridCol w:w="109"/>
        <w:gridCol w:w="211"/>
        <w:gridCol w:w="61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in millions)</w:t>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Exercise</w:t>
              <w:br/>
              <w:t>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the period</w:t>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end of the period</w:t>
            </w:r>
          </w:p>
        </w:tc>
        <w:tc>
          <w:tcPr>
            <w:tcW w:w="48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the intrinsic value (the difference between the exercise price and the market price) for all options outstanding was $2.2 million and for options currently exercisable was $2.2 million. The total intrinsic value of all options exercised during the nine months ended August 31, 2026 and August 31, 2025 was $5.5 million and $9.2 million, respectively.</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RSU activity for the nine months ended August 31, 2026 and 2025:</w:t>
      </w:r>
    </w:p>
    <w:tbl>
      <w:tblPr>
        <w:tblW w:w="7490" w:type="dxa"/>
        <w:jc w:val="left"/>
        <w:tblInd w:w="0" w:type="dxa"/>
        <w:tblLayout w:type="fixed"/>
        <w:tblCellMar>
          <w:top w:w="28" w:type="dxa"/>
          <w:left w:w="28" w:type="dxa"/>
          <w:bottom w:w="28" w:type="dxa"/>
          <w:right w:w="28" w:type="dxa"/>
        </w:tblCellMar>
      </w:tblPr>
      <w:tblGrid>
        <w:gridCol w:w="1082"/>
        <w:gridCol w:w="949"/>
        <w:gridCol w:w="953"/>
        <w:gridCol w:w="307"/>
        <w:gridCol w:w="309"/>
        <w:gridCol w:w="226"/>
        <w:gridCol w:w="109"/>
        <w:gridCol w:w="109"/>
        <w:gridCol w:w="109"/>
        <w:gridCol w:w="211"/>
        <w:gridCol w:w="616"/>
        <w:gridCol w:w="109"/>
        <w:gridCol w:w="109"/>
        <w:gridCol w:w="109"/>
        <w:gridCol w:w="109"/>
        <w:gridCol w:w="269"/>
        <w:gridCol w:w="271"/>
        <w:gridCol w:w="226"/>
        <w:gridCol w:w="109"/>
        <w:gridCol w:w="109"/>
        <w:gridCol w:w="109"/>
        <w:gridCol w:w="211"/>
        <w:gridCol w:w="61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in thousands)</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Grant-Date</w:t>
              <w:br/>
              <w:t>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LTPP activity for the nine months ended August 31, 2026 and 2025:</w:t>
      </w:r>
    </w:p>
    <w:tbl>
      <w:tblPr>
        <w:tblW w:w="7414" w:type="dxa"/>
        <w:jc w:val="left"/>
        <w:tblInd w:w="0" w:type="dxa"/>
        <w:tblLayout w:type="fixed"/>
        <w:tblCellMar>
          <w:top w:w="28" w:type="dxa"/>
          <w:left w:w="28" w:type="dxa"/>
          <w:bottom w:w="28" w:type="dxa"/>
          <w:right w:w="28" w:type="dxa"/>
        </w:tblCellMar>
      </w:tblPr>
      <w:tblGrid>
        <w:gridCol w:w="1082"/>
        <w:gridCol w:w="949"/>
        <w:gridCol w:w="953"/>
        <w:gridCol w:w="269"/>
        <w:gridCol w:w="271"/>
        <w:gridCol w:w="226"/>
        <w:gridCol w:w="109"/>
        <w:gridCol w:w="109"/>
        <w:gridCol w:w="109"/>
        <w:gridCol w:w="211"/>
        <w:gridCol w:w="616"/>
        <w:gridCol w:w="109"/>
        <w:gridCol w:w="109"/>
        <w:gridCol w:w="109"/>
        <w:gridCol w:w="109"/>
        <w:gridCol w:w="269"/>
        <w:gridCol w:w="271"/>
        <w:gridCol w:w="226"/>
        <w:gridCol w:w="109"/>
        <w:gridCol w:w="109"/>
        <w:gridCol w:w="109"/>
        <w:gridCol w:w="211"/>
        <w:gridCol w:w="616"/>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in thousands)</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w:t>
              <w:br/>
              <w:t>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w:t>
              <w:br/>
              <w:t>Average</w:t>
              <w:br/>
              <w:t>Grant-Date</w:t>
              <w:br/>
              <w:t>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9.    INCOME TAXES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August 31, 2026 included approximately $9.0 million of net discrete tax benefits consisting principally of the following: (i) $5.6 million of tax benefits resulting from an adjustment to a prior year tax accrual, and related deferred taxes, based on the final return filed, (ii) $2.3 million of net tax benefits from the reversal of certain reserves for unrecognized tax benefits and related interest associated with the expiration of statutes of limitations, and (iii) $1.4 million of tax benefits resulting from state tax matters, and related deferred taxes.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nine months ended August 31, 2026 included $16.4 million of net discrete tax benefits consisting principally of the following: (i) $5.6 million of tax benefits resulting from an adjustment to a prior year tax accrual, and related deferred taxes, based on the final return filed, (ii) $4.2 million of tax benefit associated with the reversal of a deferred tax liability related to the reassessment of a permanent reinvestment assertion, (iii) $3.4 million of net tax benefits from the reversal of certain reserves for unrecognized tax benefits and related interest associated with the expiration of statutes of limitations, (iv) $3.0 million of tax benefit associated with the adjustment of a valuation allowance, and (v) $1.4 million of tax benefits resulting from state tax matters, and related deferred taxes.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August 31, 2025 included approximately $20.0 million of net discrete tax benefits consisting principally of the following: (i) $8.7 million of tax benefits from the reversal of certain reserves for unrecognized tax benefits and related interest, including $4.4 million associated with the expiration of statutes of limitations, (ii) $8.1 million of tax benefits resulting from state tax matters, and related deferred taxes, and (iii) $3.5 million of tax benefits resulting from an adjustment to a prior year tax accrual, and related deferred taxes, based on the final return filed.</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for the nine months ended August 31, 2025 included approximately $27.6 million of net discrete tax benefits consisting principally of the following: (i) $10.2 million of tax benefits from the reversal of certain reserves for unrecognized tax benefits and related interest, including $5.9 million associated with the expiration of statutes of limitations, (ii) $8.0 million of tax benefits resulting from state tax matters, and related deferred taxes, (iii) a $5.0 million tax benefit resulting from the revaluation of deferred taxes associated with enacted legislation, (iv) $3.5 million of tax benefits resulting from an adjustment to a prior year tax accrual, and related deferred taxes, based on the final return filed, and (v) $1.0 million of excess tax benefits associated with stock compensation.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than additions for current year tax positions and the discrete tax benefit associated with unrecognized tax benefits, as previously described, there were no significant changes to unrecognized tax benefits during the nine months ended August 31,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we believe the reasonably possible total amount of unrecognized tax benefits that could increase or decrease in the next 12 months as a result of various statute expirations, audit closures, and/or tax settlements would not be material to our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    CAPITAL STOCK AND EARNINGS PER SHARE</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average shares outstanding (in millions):</w:t>
      </w:r>
    </w:p>
    <w:tbl>
      <w:tblPr>
        <w:tblW w:w="8795" w:type="dxa"/>
        <w:jc w:val="left"/>
        <w:tblInd w:w="0" w:type="dxa"/>
        <w:tblLayout w:type="fixed"/>
        <w:tblCellMar>
          <w:top w:w="28" w:type="dxa"/>
          <w:left w:w="28" w:type="dxa"/>
          <w:bottom w:w="28" w:type="dxa"/>
          <w:right w:w="28" w:type="dxa"/>
        </w:tblCellMar>
      </w:tblPr>
      <w:tblGrid>
        <w:gridCol w:w="1136"/>
        <w:gridCol w:w="998"/>
        <w:gridCol w:w="1000"/>
        <w:gridCol w:w="427"/>
        <w:gridCol w:w="260"/>
        <w:gridCol w:w="260"/>
        <w:gridCol w:w="260"/>
        <w:gridCol w:w="260"/>
        <w:gridCol w:w="260"/>
        <w:gridCol w:w="427"/>
        <w:gridCol w:w="260"/>
        <w:gridCol w:w="260"/>
        <w:gridCol w:w="109"/>
        <w:gridCol w:w="109"/>
        <w:gridCol w:w="109"/>
        <w:gridCol w:w="422"/>
        <w:gridCol w:w="245"/>
        <w:gridCol w:w="245"/>
        <w:gridCol w:w="245"/>
        <w:gridCol w:w="245"/>
        <w:gridCol w:w="245"/>
        <w:gridCol w:w="422"/>
        <w:gridCol w:w="245"/>
        <w:gridCol w:w="346"/>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basic</w:t>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options/RSUs/LTPP</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diluted</w:t>
            </w:r>
          </w:p>
        </w:tc>
        <w:tc>
          <w:tcPr>
            <w:tcW w:w="6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stock options and RSUs that were not considered in our earnings per share calculation since they were anti-dilutive (in millions):</w:t>
      </w:r>
    </w:p>
    <w:tbl>
      <w:tblPr>
        <w:tblW w:w="6967" w:type="dxa"/>
        <w:jc w:val="left"/>
        <w:tblInd w:w="0" w:type="dxa"/>
        <w:tblLayout w:type="fixed"/>
        <w:tblCellMar>
          <w:top w:w="28" w:type="dxa"/>
          <w:left w:w="28" w:type="dxa"/>
          <w:bottom w:w="28" w:type="dxa"/>
          <w:right w:w="28" w:type="dxa"/>
        </w:tblCellMar>
      </w:tblPr>
      <w:tblGrid>
        <w:gridCol w:w="723"/>
        <w:gridCol w:w="634"/>
        <w:gridCol w:w="637"/>
        <w:gridCol w:w="260"/>
        <w:gridCol w:w="260"/>
        <w:gridCol w:w="260"/>
        <w:gridCol w:w="260"/>
        <w:gridCol w:w="260"/>
        <w:gridCol w:w="260"/>
        <w:gridCol w:w="260"/>
        <w:gridCol w:w="260"/>
        <w:gridCol w:w="260"/>
        <w:gridCol w:w="109"/>
        <w:gridCol w:w="109"/>
        <w:gridCol w:w="109"/>
        <w:gridCol w:w="245"/>
        <w:gridCol w:w="245"/>
        <w:gridCol w:w="245"/>
        <w:gridCol w:w="245"/>
        <w:gridCol w:w="245"/>
        <w:gridCol w:w="245"/>
        <w:gridCol w:w="245"/>
        <w:gridCol w:w="245"/>
        <w:gridCol w:w="346"/>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common stock activity (in millions):</w:t>
      </w:r>
    </w:p>
    <w:tbl>
      <w:tblPr>
        <w:tblW w:w="10205" w:type="dxa"/>
        <w:jc w:val="left"/>
        <w:tblInd w:w="0" w:type="dxa"/>
        <w:tblLayout w:type="fixed"/>
        <w:tblCellMar>
          <w:top w:w="28" w:type="dxa"/>
          <w:left w:w="28" w:type="dxa"/>
          <w:bottom w:w="28" w:type="dxa"/>
          <w:right w:w="28" w:type="dxa"/>
        </w:tblCellMar>
      </w:tblPr>
      <w:tblGrid>
        <w:gridCol w:w="2251"/>
        <w:gridCol w:w="1902"/>
        <w:gridCol w:w="1916"/>
        <w:gridCol w:w="260"/>
        <w:gridCol w:w="209"/>
        <w:gridCol w:w="192"/>
        <w:gridCol w:w="192"/>
        <w:gridCol w:w="192"/>
        <w:gridCol w:w="192"/>
        <w:gridCol w:w="260"/>
        <w:gridCol w:w="209"/>
        <w:gridCol w:w="192"/>
        <w:gridCol w:w="109"/>
        <w:gridCol w:w="109"/>
        <w:gridCol w:w="109"/>
        <w:gridCol w:w="245"/>
        <w:gridCol w:w="207"/>
        <w:gridCol w:w="184"/>
        <w:gridCol w:w="184"/>
        <w:gridCol w:w="184"/>
        <w:gridCol w:w="184"/>
        <w:gridCol w:w="245"/>
        <w:gridCol w:w="207"/>
        <w:gridCol w:w="271"/>
      </w:tblGrid>
      <w:tr>
        <w:trPr/>
        <w:tc>
          <w:tcPr>
            <w:tcW w:w="225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issued under stock options, RSUs, LTPP, and employee stock purchase plans </w:t>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the stock repurchase program and shares withheld for taxes under stock options, RSUs, and LTPP</w:t>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$403 million remained of the $600 million share repurchase program authorization approved by our Board of Directors in November 2019.</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    ACCUMULATED OTHER COMPREHENSIVE LOSS ATTRIBUTABLE TO McCORMICK</w:t>
      </w:r>
    </w:p>
    <w:p>
      <w:pPr>
        <w:pStyle w:val="TextBody"/>
        <w:bidi w:val="0"/>
        <w:spacing w:before="0" w:after="0"/>
        <w:ind w:left="0" w:right="0" w:hanging="360"/>
        <w:jc w:val="left"/>
        <w:rPr/>
      </w:pPr>
      <w:r>
        <w:rPr/>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accumulated other comprehensive income (loss), net of tax, where applicable (in millions):</w:t>
      </w:r>
    </w:p>
    <w:tbl>
      <w:tblPr>
        <w:tblW w:w="8680" w:type="dxa"/>
        <w:jc w:val="center"/>
        <w:tblInd w:w="0" w:type="dxa"/>
        <w:tblLayout w:type="fixed"/>
        <w:tblCellMar>
          <w:top w:w="28" w:type="dxa"/>
          <w:left w:w="28" w:type="dxa"/>
          <w:bottom w:w="28" w:type="dxa"/>
          <w:right w:w="28" w:type="dxa"/>
        </w:tblCellMar>
      </w:tblPr>
      <w:tblGrid>
        <w:gridCol w:w="1999"/>
        <w:gridCol w:w="1755"/>
        <w:gridCol w:w="1765"/>
        <w:gridCol w:w="266"/>
        <w:gridCol w:w="872"/>
        <w:gridCol w:w="137"/>
        <w:gridCol w:w="109"/>
        <w:gridCol w:w="109"/>
        <w:gridCol w:w="109"/>
        <w:gridCol w:w="311"/>
        <w:gridCol w:w="1021"/>
        <w:gridCol w:w="227"/>
      </w:tblGrid>
      <w:tr>
        <w:trPr/>
        <w:tc>
          <w:tcPr>
            <w:tcW w:w="199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translation adjustment</w:t>
            </w:r>
            <w:r>
              <w:rPr>
                <w:rFonts w:ascii="Times New Roman;serif" w:hAnsi="Times New Roman;serif"/>
                <w:b w:val="false"/>
                <w:color w:val="000000"/>
                <w:sz w:val="13"/>
              </w:rPr>
              <w:t>(1)</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net gain (loss) on cash flow hedges</w:t>
            </w:r>
            <w:r>
              <w:rPr>
                <w:rFonts w:ascii="Times New Roman;serif" w:hAnsi="Times New Roman;serif"/>
                <w:b w:val="false"/>
                <w:color w:val="000000"/>
                <w:sz w:val="13"/>
              </w:rPr>
              <w:t>(2)</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value of settled interest rate swaps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attributable to McCormick</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(1)During the nine months ended August 31, 2026, the foreign currency translation adjustment of Accumulated other comprehensive loss decreased on a net basis by $198.6 million, inclusive of $0.9 million of unrealized losses associated with net investment hedges, $2.3 million of foreign currency translation gain associated with the exit of our development-stage pepper sourcing and agricultural technology project, and $40.6 million of foreign currency translation loss associated with our prior 50% ownership interest in McCormick de Mexico that was reclassified from Accumulated other comprehensive loss as more fully described in Note 2. Net investment hedges are more fully described in Note 4.</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(2)During the nine months ended August 31, 2026, cash flow hedges generated unrealized gains and increased on a net basis by $28.1 million, inclusive of $4.2 million unrealized net loss on cash flow hedges associated with our prior 50% ownership interest in McCormick de Mexico that was reclassified from Accumulated other comprehensive loss as more fully described in Note 2. Cash flow hedges are more fully described in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amounts reclassified from accumulated other comprehensive income (loss) and into consolidated net income (in millions):</w:t>
      </w:r>
    </w:p>
    <w:tbl>
      <w:tblPr>
        <w:tblW w:w="10205" w:type="dxa"/>
        <w:jc w:val="left"/>
        <w:tblInd w:w="0" w:type="dxa"/>
        <w:tblLayout w:type="fixed"/>
        <w:tblCellMar>
          <w:top w:w="28" w:type="dxa"/>
          <w:left w:w="28" w:type="dxa"/>
          <w:bottom w:w="28" w:type="dxa"/>
          <w:right w:w="28" w:type="dxa"/>
        </w:tblCellMar>
      </w:tblPr>
      <w:tblGrid>
        <w:gridCol w:w="1482"/>
        <w:gridCol w:w="798"/>
        <w:gridCol w:w="801"/>
        <w:gridCol w:w="109"/>
        <w:gridCol w:w="109"/>
        <w:gridCol w:w="109"/>
        <w:gridCol w:w="222"/>
        <w:gridCol w:w="463"/>
        <w:gridCol w:w="114"/>
        <w:gridCol w:w="114"/>
        <w:gridCol w:w="114"/>
        <w:gridCol w:w="114"/>
        <w:gridCol w:w="222"/>
        <w:gridCol w:w="463"/>
        <w:gridCol w:w="114"/>
        <w:gridCol w:w="109"/>
        <w:gridCol w:w="109"/>
        <w:gridCol w:w="109"/>
        <w:gridCol w:w="219"/>
        <w:gridCol w:w="531"/>
        <w:gridCol w:w="113"/>
        <w:gridCol w:w="113"/>
        <w:gridCol w:w="113"/>
        <w:gridCol w:w="113"/>
        <w:gridCol w:w="219"/>
        <w:gridCol w:w="456"/>
        <w:gridCol w:w="113"/>
        <w:gridCol w:w="109"/>
        <w:gridCol w:w="109"/>
        <w:gridCol w:w="109"/>
        <w:gridCol w:w="444"/>
        <w:gridCol w:w="322"/>
        <w:gridCol w:w="322"/>
        <w:gridCol w:w="322"/>
        <w:gridCol w:w="322"/>
        <w:gridCol w:w="481"/>
      </w:tblGrid>
      <w:tr>
        <w:trPr/>
        <w:tc>
          <w:tcPr>
            <w:tcW w:w="148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Affected Line Items in the Condensed Consolidated Income Statement</w:t>
            </w:r>
          </w:p>
        </w:tc>
      </w:tr>
      <w:tr>
        <w:trPr/>
        <w:tc>
          <w:tcPr>
            <w:tcW w:w="3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(Gains)/losses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pension and postretirement benefit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prior service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net actuarial (gains)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into earnings due to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as a result of acquisition of McCormick de Mexico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unconsolidated operations</w:t>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as a result of exit of pepper sourcing and agricultural technology project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accumulated other comprehensive income (loss) component is included in the computation of total pension (income) and other postretirement benefits expense. Refer to Note 7 for additional details.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    BUSINESS SEGMENTS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operate in two business segments: Consumer and Flavor Solutions. The Consumer and Flavor Solutions segments manufacture, market, and distribute spices, herbs, seasoning mixes, condiments, and other flavorful products throughout the world. Our Consumer segment sells to retail channels, including grocery, mass merchandise, warehouse clubs, discount and drug stores, and e-commerce under the “McCormick” brand and a variety of brands around the world, including “French’s,” “Frank’s RedHot,” “Lawry’s,” “Zatarain’s,” “Simply Asia,” “Thai Kitchen,” “Ducros,” “Vahiné,” “Cholula,” “Schwartz,” “Club House,” “Kamis,” “DaQiao,” “La Drogheria,” “Stubb’s,” “OLD BAY,” and “Gourmet Garden.” Our Flavor Solutions segment sells to food manufacturers and the foodservice industry both directly and indirectly through distributors, with the exception of our business in China, where foodservice sales are managed by and reported in our Consumer segment.</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CODM is our Chairman, President &amp; Chief Executive Officer. Our CODM uses operating income excluding special charges and transaction and integration expenses related to our acquisitions to manage segment performance and allocate resources across segments and considers variances of actual performance to our annual budget and periodic forecasts as well as year over year performance when making decisions. Special charges, including transaction and integration expenses, are excluded from operating income in our internal reporting to the CODM as this activity is managed separately from the business segments. Activity related to special charges, including transaction and integration expenses, is described in Note 3.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and integration expenses include the amortization of the acquisition-date fair value adjustment of inventories included in Cost of goods sold, costs directly associated with that acquisition and costs associated with integrating the businesses. We also exclude the gain on remeasurement of previously held equity interest from operating income in our internal reporting to the CODM, which was recorded upon consolidation of McCormick de Mexico during the first quarter of 2026 and is described in more detail in Note 2.</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the segments are managed separately due to their distinct distribution channels and marketing strategies, manufacturing and warehousing are often integrated to maximize cost efficiencies. As a result, jointly utilized assets, including fixed assets, and depreciation and amortization expense are not maintained by individual segment. Depreciation and amortization expense is allocated to the segments except for amounts that are recognized in interest. Because of manufacturing integration for certain products within the segments, products are not sold from one segment to another but rather inventory is transferred at cost. Inter-segment transfers are not material.</w:t>
      </w:r>
    </w:p>
    <w:p>
      <w:pPr>
        <w:pStyle w:val="TextBody"/>
        <w:bidi w:val="0"/>
        <w:spacing w:before="180" w:after="283"/>
        <w:jc w:val="left"/>
        <w:rPr/>
      </w:pPr>
      <w:r>
        <w:rPr/>
      </w:r>
    </w:p>
    <w:tbl>
      <w:tblPr>
        <w:tblW w:w="8105" w:type="dxa"/>
        <w:jc w:val="left"/>
        <w:tblInd w:w="0" w:type="dxa"/>
        <w:tblLayout w:type="fixed"/>
        <w:tblCellMar>
          <w:top w:w="28" w:type="dxa"/>
          <w:left w:w="28" w:type="dxa"/>
          <w:bottom w:w="28" w:type="dxa"/>
          <w:right w:w="28" w:type="dxa"/>
        </w:tblCellMar>
      </w:tblPr>
      <w:tblGrid>
        <w:gridCol w:w="1369"/>
        <w:gridCol w:w="1200"/>
        <w:gridCol w:w="1211"/>
        <w:gridCol w:w="211"/>
        <w:gridCol w:w="766"/>
        <w:gridCol w:w="109"/>
        <w:gridCol w:w="109"/>
        <w:gridCol w:w="109"/>
        <w:gridCol w:w="109"/>
        <w:gridCol w:w="282"/>
        <w:gridCol w:w="1026"/>
        <w:gridCol w:w="146"/>
        <w:gridCol w:w="109"/>
        <w:gridCol w:w="109"/>
        <w:gridCol w:w="109"/>
        <w:gridCol w:w="211"/>
        <w:gridCol w:w="76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Flavor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2026</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2025</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cost of goods sold excluding special charges and operating income excluding special charges to cost of goods sold and operating income for the three and nine months ended August 31, 2026 is as follows (in millions):</w:t>
      </w:r>
    </w:p>
    <w:tbl>
      <w:tblPr>
        <w:tblW w:w="7940" w:type="dxa"/>
        <w:jc w:val="left"/>
        <w:tblInd w:w="0" w:type="dxa"/>
        <w:tblLayout w:type="fixed"/>
        <w:tblCellMar>
          <w:top w:w="28" w:type="dxa"/>
          <w:left w:w="28" w:type="dxa"/>
          <w:bottom w:w="28" w:type="dxa"/>
          <w:right w:w="28" w:type="dxa"/>
        </w:tblCellMar>
      </w:tblPr>
      <w:tblGrid>
        <w:gridCol w:w="1369"/>
        <w:gridCol w:w="1200"/>
        <w:gridCol w:w="1211"/>
        <w:gridCol w:w="211"/>
        <w:gridCol w:w="766"/>
        <w:gridCol w:w="109"/>
        <w:gridCol w:w="109"/>
        <w:gridCol w:w="109"/>
        <w:gridCol w:w="109"/>
        <w:gridCol w:w="250"/>
        <w:gridCol w:w="910"/>
        <w:gridCol w:w="129"/>
        <w:gridCol w:w="109"/>
        <w:gridCol w:w="109"/>
        <w:gridCol w:w="109"/>
        <w:gridCol w:w="211"/>
        <w:gridCol w:w="766"/>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Flavor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2026</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excluding special charges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Special charges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August 31, 2025</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2026</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Nine months ended August 31, 2025</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special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special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Special charges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preceding table provides a reconciliation of our segment operating income excluding special charges to our consolidated operating income. The reconciliation of that operating income to income from consolidated operations before income taxes, which includes interest expense and other income, net is presented on the consolidated income statement.</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Geographic Area</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net sales, by geographic area, for the three and nine months ended August 31, 2026 and 2025 (in millions):</w:t>
      </w:r>
    </w:p>
    <w:tbl>
      <w:tblPr>
        <w:tblW w:w="6241" w:type="dxa"/>
        <w:jc w:val="left"/>
        <w:tblInd w:w="0" w:type="dxa"/>
        <w:tblLayout w:type="fixed"/>
        <w:tblCellMar>
          <w:top w:w="28" w:type="dxa"/>
          <w:left w:w="28" w:type="dxa"/>
          <w:bottom w:w="28" w:type="dxa"/>
          <w:right w:w="28" w:type="dxa"/>
        </w:tblCellMar>
      </w:tblPr>
      <w:tblGrid>
        <w:gridCol w:w="315"/>
        <w:gridCol w:w="277"/>
        <w:gridCol w:w="27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OVERVIEW</w:t>
      </w:r>
    </w:p>
    <w:p>
      <w:pPr>
        <w:pStyle w:val="TextBody"/>
        <w:bidi w:val="0"/>
        <w:spacing w:lineRule="auto" w:line="276" w:before="180" w:after="283"/>
        <w:jc w:val="left"/>
        <w:rPr/>
      </w:pPr>
      <w:r>
        <w:rPr>
          <w:rFonts w:ascii="Times New Roman;serif" w:hAnsi="Times New Roman;serif"/>
          <w:b w:val="false"/>
          <w:color w:val="000000"/>
          <w:sz w:val="20"/>
        </w:rPr>
        <w:t xml:space="preserve">The following Management’s Discussion and Analysis of Financial Condition and Results of Operations (MD&amp;A) is intended to help the reader understand McCormick &amp; Company, Incorporated, our operations, and our present business environment from the perspective of management. MD&amp;A is provided as a supplement to, and should be read in conjunction with, our condensed consolidated financial statements and the accompanying notes thereto, included in Item 1 of this report. We use certain non-GAAP information </w:t>
      </w:r>
      <w:r>
        <w:rPr>
          <w:color w:val="000000"/>
        </w:rPr>
        <w:t xml:space="preserve">– </w:t>
      </w:r>
      <w:r>
        <w:rPr>
          <w:rFonts w:ascii="Times New Roman;serif" w:hAnsi="Times New Roman;serif"/>
          <w:b w:val="false"/>
          <w:color w:val="000000"/>
          <w:sz w:val="20"/>
        </w:rPr>
        <w:t xml:space="preserve">more fully described below under the caption Non-GAAP Financial Measures </w:t>
      </w:r>
      <w:r>
        <w:rPr>
          <w:color w:val="000000"/>
        </w:rPr>
        <w:t xml:space="preserve">– </w:t>
      </w:r>
      <w:r>
        <w:rPr>
          <w:rFonts w:ascii="Times New Roman;serif" w:hAnsi="Times New Roman;serif"/>
          <w:b w:val="false"/>
          <w:color w:val="000000"/>
          <w:sz w:val="20"/>
        </w:rPr>
        <w:t xml:space="preserve">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Unless otherwise noted, the dollar and share information in the charts and tables in MD&amp;A are in millions, except per share data. </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Business profile</w:t>
      </w:r>
    </w:p>
    <w:p>
      <w:pPr>
        <w:pStyle w:val="TextBody"/>
        <w:bidi w:val="0"/>
        <w:spacing w:lineRule="auto" w:line="276" w:before="180" w:after="283"/>
        <w:jc w:val="left"/>
        <w:rPr/>
      </w:pPr>
      <w:r>
        <w:rPr>
          <w:rFonts w:ascii="Times New Roman;serif" w:hAnsi="Times New Roman;serif"/>
          <w:b w:val="false"/>
          <w:color w:val="000000"/>
          <w:sz w:val="20"/>
        </w:rPr>
        <w:t xml:space="preserve">McCormick is a global leader in flavor. We manufacture, market, and distribute spices, seasoning mixes, condiments, and other flavorful products to the entire food and beverage industry </w:t>
      </w:r>
      <w:r>
        <w:rPr>
          <w:color w:val="000000"/>
        </w:rPr>
        <w:t xml:space="preserve">– </w:t>
      </w:r>
      <w:r>
        <w:rPr>
          <w:rFonts w:ascii="Times New Roman;serif" w:hAnsi="Times New Roman;serif"/>
          <w:b w:val="false"/>
          <w:color w:val="000000"/>
          <w:sz w:val="20"/>
        </w:rPr>
        <w:t xml:space="preserve">retailers, food manufacturers, and the foodservice business. In fiscal year 2025, approximately 39% of our sales were generated outside of the U.S. We also are partners in a number of joint ventures involved in the manufacture and sale of flavorful products. We manage our business in two business segments, Consumer and Flavor Solutions. </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Recent Events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On January 2, 2026, we acquired an additional 25% ownership interest in McCormick de Mexico for a purchase price of $750.0 million, which increased our ownership to a 75% controlling interest. We believe the acquisition creates opportunities for further growth in the Mexican market and provides a strategic platform for further expansion in Latin America. McCormick de Mexico is a prominent food company in Mexico, with a broad portfolio, including mayonnaise, spices, marmalades, mustard, hot sauce, and tea, sold under McCormick brands. The acquisition is described in detail in Note 2 of the notes to our accompanying condensed consolidated financial statements.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certain tariffs imposed under IEEPA by the executive branch are not lawful. On March 4, 2026, the CIT ordered CBP to begin the refund process for all importers who were subject to IEEPA tariffs. On April 20, 2026, CBP established an online portal through which companies can submit IEEPA tariff refund requests. We submitted our refund request on April 28, 2026, which is described in Note 1 of the notes to our accompanying condensed consolidated financial statements. We will continue to monitor U.S. tariff-related developments for further updates and any associated impacts on our consolidated financial statements.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2026, we entered into the Merger Agreement with Unilever, pursuant to which Unilever will separate its Unilever Foods business, excluding its foods businesses in India, Nepal and Portugal, as well as its Lifestyle &amp; Nutrition business, Buavita business and Lipton Ready-to-Drink business, and Unilever Foods will merge with a wholly owned subsidiary of McCormick in a transaction intended to qualify as a Reverse Morris Trust transaction. The transaction is generally expected to be tax-free to Unilever’s shareholders for U.S. federal income tax purposes, except to the extent that cash is paid to Unilever’s shareholders in lieu of fractional shares and provided that Unilever does not make the U.S. Asset Sale Election. </w:t>
      </w:r>
    </w:p>
    <w:p>
      <w:pPr>
        <w:pStyle w:val="TextBody"/>
        <w:bidi w:val="0"/>
        <w:spacing w:lineRule="auto" w:line="276" w:before="180" w:after="283"/>
        <w:jc w:val="left"/>
        <w:rPr/>
      </w:pPr>
      <w:r>
        <w:rPr>
          <w:rFonts w:ascii="Times New Roman;serif" w:hAnsi="Times New Roman;serif"/>
          <w:b w:val="false"/>
          <w:color w:val="000000"/>
          <w:sz w:val="20"/>
        </w:rPr>
        <w:t>Under the terms of the Merger Agreement, we will issue voting and non-voting securities to Unilever shareholders and Unilever in the same proportion as is currently held by our shareholders. The transactions contemplated by the Merger Agreement are expected to result in current Unilever shareholders owning approximately 55.1% of the combined company, our current shareholders owning approximately 35.0% of the combined company, and Unilever retaining up to approximatel</w:t>
      </w:r>
      <w:r>
        <w:rPr>
          <w:rFonts w:ascii="Times New Roman;serif" w:hAnsi="Times New Roman;serif"/>
          <w:b w:val="false"/>
          <w:color w:val="000000"/>
          <w:sz w:val="20"/>
          <w:shd w:fill="FFFFFF" w:val="clear"/>
        </w:rPr>
        <w:t>y 9.9%</w:t>
      </w:r>
      <w:r>
        <w:rPr>
          <w:color w:val="000000"/>
        </w:rPr>
        <w:t xml:space="preserve"> </w:t>
      </w:r>
      <w:r>
        <w:rPr>
          <w:rFonts w:ascii="Times New Roman;serif" w:hAnsi="Times New Roman;serif"/>
          <w:b w:val="false"/>
          <w:color w:val="000000"/>
          <w:sz w:val="20"/>
        </w:rPr>
        <w:t>of the total outstanding equity of the combined company, assuming Unilever does not elect under the Merger Agreement to dispose of such interest. Unilever will also receive a one-time $15.7 billion cash payment, subject to certain adjustments. The pending transaction is subject to the satisfaction or waiver of certain customary closing conditions, including shareholder and regulatory approvals. For additional information regarding the pending transaction, see Note 2 of the notes to our accompanying condensed consolidated financial statements.</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Executive Summary</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third quarter of 2026, we achieved net sales growth of 17.4% as compared to the same quarter of 2025, due to the following factors:</w:t>
      </w:r>
    </w:p>
    <w:p>
      <w:pPr>
        <w:pStyle w:val="TextBody"/>
        <w:bidi w:val="0"/>
        <w:spacing w:lineRule="auto" w:line="276" w:before="18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Volume and product mix unfavorably impacted net sales by 0.3%. The Consumer segment experienced </w:t>
      </w:r>
      <w:r>
        <w:rPr>
          <w:rFonts w:ascii="Times New Roman;serif" w:hAnsi="Times New Roman;serif"/>
          <w:b w:val="false"/>
          <w:color w:val="000000"/>
          <w:sz w:val="20"/>
        </w:rPr>
        <w:t>unfavorable</w:t>
      </w:r>
      <w:r>
        <w:rPr>
          <w:color w:val="000000"/>
          <w:shd w:fill="FFFFFF" w:val="clear"/>
        </w:rPr>
        <w:t xml:space="preserve"> </w:t>
      </w:r>
      <w:r>
        <w:rPr>
          <w:rFonts w:ascii="Times New Roman;serif" w:hAnsi="Times New Roman;serif"/>
          <w:b w:val="false"/>
          <w:color w:val="000000"/>
          <w:sz w:val="20"/>
          <w:shd w:fill="FFFFFF" w:val="clear"/>
        </w:rPr>
        <w:t xml:space="preserve">volume and product mix of 1.1% and the Flavor Solutions segment experienced </w:t>
      </w:r>
      <w:r>
        <w:rPr>
          <w:rFonts w:ascii="Times New Roman;serif" w:hAnsi="Times New Roman;serif"/>
          <w:b w:val="false"/>
          <w:color w:val="000000"/>
          <w:sz w:val="20"/>
        </w:rPr>
        <w:t>favorable</w:t>
      </w:r>
      <w:r>
        <w:rPr>
          <w:color w:val="000000"/>
          <w:shd w:fill="FFFFFF" w:val="clear"/>
        </w:rPr>
        <w:t xml:space="preserve"> </w:t>
      </w:r>
      <w:r>
        <w:rPr>
          <w:rFonts w:ascii="Times New Roman;serif" w:hAnsi="Times New Roman;serif"/>
          <w:b w:val="false"/>
          <w:color w:val="000000"/>
          <w:sz w:val="20"/>
          <w:shd w:fill="FFFFFF" w:val="clear"/>
        </w:rPr>
        <w:t>volume and product mix of 0.8%.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ind w:left="0" w:right="0" w:hanging="360"/>
        <w:jc w:val="left"/>
        <w:rPr/>
      </w:pPr>
      <w:r>
        <w:rPr>
          <w:color w:val="000000"/>
        </w:rPr>
        <w:t>•</w:t>
      </w:r>
      <w:r>
        <w:rPr>
          <w:rFonts w:ascii="Times New Roman;serif" w:hAnsi="Times New Roman;serif"/>
          <w:b w:val="false"/>
          <w:color w:val="000000"/>
          <w:sz w:val="20"/>
        </w:rPr>
        <w:t xml:space="preserve">Pricing favorably impacted net sales by 2.2%. The Consumer segment experienced favorable pricing of 2.2% and the Flavor Solutions segment experienced favorable pricing of 2.2%. </w:t>
      </w:r>
    </w:p>
    <w:p>
      <w:pPr>
        <w:pStyle w:val="TextBody"/>
        <w:bidi w:val="0"/>
        <w:spacing w:lineRule="auto" w:line="276" w:before="180" w:after="283"/>
        <w:ind w:left="0" w:right="0" w:hanging="360"/>
        <w:jc w:val="left"/>
        <w:rPr/>
      </w:pPr>
      <w:r>
        <w:rPr>
          <w:color w:val="000000"/>
        </w:rPr>
        <w:t>•</w:t>
      </w:r>
      <w:r>
        <w:rPr>
          <w:rFonts w:ascii="Times New Roman;serif" w:hAnsi="Times New Roman;serif"/>
          <w:b w:val="false"/>
          <w:color w:val="000000"/>
          <w:sz w:val="20"/>
        </w:rPr>
        <w:t xml:space="preserve">The impact of our acquisition of McCormick de Mexico contributed 14.6% of our net sales growth. </w:t>
      </w:r>
    </w:p>
    <w:p>
      <w:pPr>
        <w:pStyle w:val="TextBody"/>
        <w:bidi w:val="0"/>
        <w:spacing w:lineRule="auto" w:line="276" w:before="180" w:after="283"/>
        <w:ind w:left="0" w:right="0" w:hanging="360"/>
        <w:jc w:val="left"/>
        <w:rPr/>
      </w:pPr>
      <w:r>
        <w:rPr>
          <w:color w:val="000000"/>
        </w:rPr>
        <w:t>•</w:t>
      </w:r>
      <w:r>
        <w:rPr>
          <w:rFonts w:ascii="Times New Roman;serif" w:hAnsi="Times New Roman;serif"/>
          <w:b w:val="false"/>
          <w:color w:val="000000"/>
          <w:sz w:val="20"/>
        </w:rPr>
        <w:t>Fluctuations in currency rates positively impacted n</w:t>
      </w:r>
      <w:r>
        <w:rPr>
          <w:rFonts w:ascii="Times New Roman;serif" w:hAnsi="Times New Roman;serif"/>
          <w:b w:val="false"/>
          <w:color w:val="000000"/>
          <w:sz w:val="20"/>
          <w:shd w:fill="FFFFFF" w:val="clear"/>
        </w:rPr>
        <w:t>et sales by 0.9%. Fluctuations in curr</w:t>
      </w:r>
      <w:r>
        <w:rPr>
          <w:rFonts w:ascii="Times New Roman;serif" w:hAnsi="Times New Roman;serif"/>
          <w:b w:val="false"/>
          <w:color w:val="000000"/>
          <w:sz w:val="20"/>
        </w:rPr>
        <w:t>ency rates positively impacted our Consumer segment sales growth by 0.6% and our Flavor Solutions segment sales growth by 1.3%.</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was $217.0 million in the third quarter of 2026, compared to $288.7 million in the same period of 2025, reflecting a decrease of 24.8%. Our gross profit margin increased by 190 basis points driven by the impacts of the McCormick de Mexico acquisition, favorable pricing, and cost savings from the Company's Comprehensive Continuous Improvement (CCI) program, partially offset by increased commodity costs and higher freight costs, including the impact of the conflict in the Middle East. Selling, general, and administrative (SG&amp;A) expense as a percentage of sales increased by 110 basis points, primarily driven by the impact of the McCormick de Mexico acquisition and increased investments in technology. Excluding special charges, adjusted operating income was $358.5 million in the third quarter of 2026, reflecting an increase of 22.1% compared to $293.6 million in the 2025 period, primarily driven by the impact of the McCormick de Mexico acquisition. In constant currency, adjusted operating income increased by 20.9%.</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was $0.36 and $0.84 in the third quarters of 2026 and 2025, respectively. Special charges, including transaction and integration costs and impairments of long-lived assets, lowered diluted earnings per share by $0.50 and $0.01 in the third quarters of 2026 and 2025, respectively. Excluding the effects of special charges, adjusted diluted earnings per share was $0.86 and $0.85 in the third quarters of 2026 and 2025, respectively. The increase in adjusted diluted earnings per share was driven by favorable operating income, partially offset by an increase in the effective tax rate, and an increase in interest expense. </w:t>
      </w:r>
    </w:p>
    <w:p>
      <w:pPr>
        <w:pStyle w:val="TextBody"/>
        <w:bidi w:val="0"/>
        <w:spacing w:lineRule="auto" w:line="276" w:before="180" w:after="283"/>
        <w:jc w:val="left"/>
        <w:rPr/>
      </w:pPr>
      <w:r>
        <w:rPr>
          <w:rFonts w:ascii="Times New Roman;serif" w:hAnsi="Times New Roman;serif"/>
          <w:b w:val="false"/>
          <w:color w:val="000000"/>
          <w:sz w:val="20"/>
        </w:rPr>
        <w:t>A detailed review of our third quarter 2026 performance compared to the third quarter of fiscal 2025 appears in the section titled “</w:t>
      </w:r>
      <w:hyperlink w:anchor="idf69e08d968d4a39af6b5b2caff334c2_94">
        <w:r>
          <w:rPr>
            <w:rStyle w:val="InternetLink"/>
            <w:rFonts w:ascii="Times New Roman;serif" w:hAnsi="Times New Roman;serif"/>
            <w:b w:val="false"/>
            <w:strike w:val="false"/>
            <w:dstrike w:val="false"/>
            <w:color w:val="000000"/>
            <w:sz w:val="20"/>
            <w:u w:val="none"/>
            <w:effect w:val="none"/>
          </w:rPr>
          <w:t>Results of Operations – Company</w:t>
        </w:r>
      </w:hyperlink>
      <w:r>
        <w:rPr>
          <w:rFonts w:ascii="Times New Roman;serif" w:hAnsi="Times New Roman;serif"/>
          <w:b w:val="false"/>
          <w:color w:val="000000"/>
          <w:sz w:val="20"/>
        </w:rPr>
        <w:t>” and “</w:t>
      </w:r>
      <w:hyperlink w:anchor="idf69e08d968d4a39af6b5b2caff334c2_97">
        <w:r>
          <w:rPr>
            <w:rStyle w:val="InternetLink"/>
            <w:rFonts w:ascii="Times New Roman;serif" w:hAnsi="Times New Roman;serif"/>
            <w:b w:val="false"/>
            <w:strike w:val="false"/>
            <w:dstrike w:val="false"/>
            <w:color w:val="000000"/>
            <w:sz w:val="20"/>
            <w:u w:val="none"/>
            <w:effect w:val="none"/>
          </w:rPr>
          <w:t>Results of Operations – Segments</w:t>
        </w:r>
      </w:hyperlink>
      <w:r>
        <w:rPr>
          <w:rFonts w:ascii="Times New Roman;serif" w:hAnsi="Times New Roman;serif"/>
          <w:b w:val="false"/>
          <w:color w:val="000000"/>
          <w:sz w:val="20"/>
        </w:rPr>
        <w:t>.” For a reconciliation of non-GAAP to reported amounts, see the subsequent discussion under the heading “</w:t>
      </w:r>
      <w:hyperlink w:anchor="idf69e08d968d4a39af6b5b2caff334c2_109">
        <w:r>
          <w:rPr>
            <w:rStyle w:val="InternetLink"/>
            <w:rFonts w:ascii="Times New Roman;serif" w:hAnsi="Times New Roman;serif"/>
            <w:b w:val="false"/>
            <w:strike w:val="false"/>
            <w:dstrike w:val="false"/>
            <w:color w:val="000000"/>
            <w:sz w:val="20"/>
            <w:u w:val="none"/>
            <w:effect w:val="none"/>
          </w:rPr>
          <w:t>Non-GAAP Financial Measures</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2026 Outlook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Our fiscal 2026 outlook continues to reflect prioritized investments in key categories to sustain our volume trends and drive long-term profitable growth while appreciating the uncertainty of the consumer and macro environment, including global trade policies and the conflict in the Middle East. Our CCI program is continuing to fuel growth investments while also driving operating margin expansion. Our fiscal 2026 outlook also reflects meaningful contributions from the acquisition of a controlling interest in McCormick de Mexico, which closed on January 2,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Our outlook for 2026 adjusted operating income and adjusted earnings per share are non-GAAP financial measures that exclude or otherwise adjust for items impacting comparability of financial results. We do not provide guidance on a GAAP basis as we cannot predict certain items included in GAAP results such as special charges, including transaction and integration expenses.</w:t>
      </w:r>
    </w:p>
    <w:p>
      <w:pPr>
        <w:pStyle w:val="TextBody"/>
        <w:bidi w:val="0"/>
        <w:spacing w:lineRule="auto" w:line="276"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2026, we expect net sales to grow between 13% and 17% compared to 2025, including an 11% to 13% increase as a result of the acquisition of a controlling interest in McCormick de Mexico and a 1% favorable impact from foreign currency rates, or to grow from 1% to 3% on an organic basis. We anticipate that net sales will benefit from favorable pricing, while volumes are expected to remain flat.</w:t>
      </w:r>
    </w:p>
    <w:p>
      <w:pPr>
        <w:pStyle w:val="TextBody"/>
        <w:bidi w:val="0"/>
        <w:spacing w:lineRule="auto" w:line="276" w:before="180" w:after="283"/>
        <w:jc w:val="left"/>
        <w:rPr/>
      </w:pPr>
      <w:r>
        <w:rPr>
          <w:rFonts w:ascii="Times New Roman;serif" w:hAnsi="Times New Roman;serif"/>
          <w:b w:val="false"/>
          <w:color w:val="000000"/>
          <w:sz w:val="20"/>
          <w:shd w:fill="FFFFFF" w:val="clear"/>
        </w:rPr>
        <w:t>In 2026, we e</w:t>
      </w:r>
      <w:r>
        <w:rPr>
          <w:rFonts w:ascii="Times New Roman;serif" w:hAnsi="Times New Roman;serif"/>
          <w:b w:val="false"/>
          <w:color w:val="000000"/>
          <w:sz w:val="20"/>
        </w:rPr>
        <w:t>xpect an increase in adjusted operating income of 16% to 20% compared to 2025, including a 1% favorable impact from foreign currency rates, or to increase by 15% to 19% on a constant currency basis. This anticipated increase in adjusted operating income reflects adjusted gross margin expansion, accretion from the acquisition of the controlling interest in McCormick de Mexico and cost savings from our CCI program, partially offset by an increase in SG&amp;A expense, including increased investments in technology, performance-based employee compensation expenses and investments aimed at driving volume growth, particularly in brand marketing. We project our brand marketing investments in 2026 to rise by low to mid-teens digits, including the impact from the acquisition of the controlling interest in McCormick de Mexico, compared to 2025. The benefit of the IEEPA tariff refund is expected to be offset by increased inflation, including costs related to the Middle East conflict, and continued investments in business growth.</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estimate that our 2026 adjusted effective tax rate, including the net favorable impact of anticipated discrete tax items, although at a lower amount than in 2025, will be 24.0% as compared to 21.5% in 2025.</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 was $3.00 for the year ended November 30, 2025. Adjusted diluted earnings per share is projected to range from $3.05 to $3.13 in 2026. We expect adjusted diluted earnings per share to increase by 2% to 5%, which includes a 1% favorable impact from currency rates, or to increase by 1% to 4% on a constant currency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280" w:after="120"/>
        <w:jc w:val="left"/>
        <w:rPr>
          <w:rFonts w:ascii="Times New Roman;serif" w:hAnsi="Times New Roman;serif"/>
          <w:b w:val="false"/>
          <w:color w:val="000000"/>
          <w:sz w:val="20"/>
        </w:rPr>
      </w:pPr>
      <w:r>
        <w:rPr>
          <w:rFonts w:ascii="Times New Roman;serif" w:hAnsi="Times New Roman;serif"/>
          <w:b w:val="false"/>
          <w:color w:val="000000"/>
          <w:sz w:val="20"/>
        </w:rPr>
        <w:t>RESULTS OF OPERATIONS – COMPANY</w:t>
      </w:r>
    </w:p>
    <w:tbl>
      <w:tblPr>
        <w:tblW w:w="10205" w:type="dxa"/>
        <w:jc w:val="left"/>
        <w:tblInd w:w="0" w:type="dxa"/>
        <w:tblLayout w:type="fixed"/>
        <w:tblCellMar>
          <w:top w:w="28" w:type="dxa"/>
          <w:left w:w="28" w:type="dxa"/>
          <w:bottom w:w="28" w:type="dxa"/>
          <w:right w:w="28" w:type="dxa"/>
        </w:tblCellMar>
      </w:tblPr>
      <w:tblGrid>
        <w:gridCol w:w="1548"/>
        <w:gridCol w:w="1341"/>
        <w:gridCol w:w="1297"/>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7"/>
      </w:tblGrid>
      <w:tr>
        <w:trPr/>
        <w:tc>
          <w:tcPr>
            <w:tcW w:w="154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4,989.9 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Percent increase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Components of percent change in net sales </w:t>
            </w:r>
            <w:r>
              <w:rPr>
                <w:color w:val="000000"/>
              </w:rPr>
              <w:t xml:space="preserve">– </w:t>
            </w:r>
            <w:r>
              <w:rPr>
                <w:rFonts w:ascii="Times New Roman;serif" w:hAnsi="Times New Roman;serif"/>
                <w:b w:val="false"/>
                <w:color w:val="000000"/>
                <w:sz w:val="20"/>
              </w:rPr>
              <w:t>increase (decrease):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Pricing actions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 and product mix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w:t>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Sales for the third quarter of 2026 increased by 17.4% from the same period in 2025 and increased by 1.9% on an organic basis (that is, excluding the impact of acquisitions and foreign currency exchange as more fully described under the caption, Non-GAAP Financial Measures). The acquisition of McCormick de Mexico added 14.6% to net sales. Pricing favorably impacted sales by 2.2% with favorable pricing from our Consumer and Flavor Solutions segments of 2.2% and 2.2%, respectively. Unfavorable volume and product mix decreased sales by 0.3% with unfavorable volume and product mix from our Consumer segment of 1.1% partially offset by favorable volume and product mix from our Flavor Solutions segment of 0.8%. Foreign currency rates increased sales by 0.9%.</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Sales for the nine months ended August 31, 2026 increased by 16.9% from the same period in 2025 and increased by 1.6% on an organic basis. The acquisition of McCormick de Mexico added 13.1% to net sales. Pricing favorably impacted sales by 2.1% with favorable pricing from our Consumer and Flavor Solutions segments of 2.4% and 1.7%, respectively. Unfavorable volume and product mix decreased sales by 0.5% with unfavorable volume and product mix from our Consumer segment of 1.2% partially offset by favorable volume and product mix from our Flavor Solutions segment of 0.4%. Foreign currency rates increased sales by 2.2%.</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Gross profit for the third quarter of 2026 increased by $149.8 million, or 23.2%, from the same period of 2025. Our gross profit margin was 39.3%, an increase of 190 basis points, driven by the impacts of the McCormick de Mexico acquisition, favorable pricing, and cost savings from the Company's CCI program, partially offset by increased commodity costs and higher freight costs, including the impact of the conflict in the Middle East.</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nine months ended August 31, 2026 increased by $410.1 million, or 21.9%, from the same period in 2025. Our gross profit margin was 39.1%, an increase of 160 basis points, driven by the impact of the McCormick de Mexico acquisition, favorable pricing, the impact of the IEEPA tariff refund, and cost savings from the Company's CCI program, partially offset by increased commodity and freight costs, including the impact of the conflict in the Middle East. Excluding the impact of special charges included in Cost of goods sold, adjusted gross margin was 39.4%, or an increase of 190 basis points. </w:t>
      </w:r>
    </w:p>
    <w:tbl>
      <w:tblPr>
        <w:tblW w:w="9917" w:type="dxa"/>
        <w:jc w:val="left"/>
        <w:tblInd w:w="0" w:type="dxa"/>
        <w:tblLayout w:type="fixed"/>
        <w:tblCellMar>
          <w:top w:w="28" w:type="dxa"/>
          <w:left w:w="28" w:type="dxa"/>
          <w:bottom w:w="28" w:type="dxa"/>
          <w:right w:w="28" w:type="dxa"/>
        </w:tblCellMar>
      </w:tblPr>
      <w:tblGrid>
        <w:gridCol w:w="1520"/>
        <w:gridCol w:w="1337"/>
        <w:gridCol w:w="1342"/>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6"/>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(SG&amp;A)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SG&amp;A expense increased by $83.9 million in the third quarter of 2026 as compared to the same period in 2025, driven primarily by the impact of the McCormick de Mexico acquisition, increased brand marketing expense, and increased investments in technology. SG&amp;A as a percentage of net sales increased by 110 basis points.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SG&amp;A expense increased by $239.0 million in the nine months ended August 31, 2026 as compared to the same period in 2025, driven primarily by the impact of the McCormick de Mexico acquisition, increased brand marketing expense, and increased investments in technology. SG&amp;A as a percentage of net sales increased by 100 basis points.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180" w:after="283"/>
        <w:jc w:val="left"/>
        <w:rPr/>
      </w:pPr>
      <w:r>
        <w:rPr/>
      </w:r>
    </w:p>
    <w:tbl>
      <w:tblPr>
        <w:tblW w:w="6350" w:type="dxa"/>
        <w:jc w:val="left"/>
        <w:tblInd w:w="0" w:type="dxa"/>
        <w:tblLayout w:type="fixed"/>
        <w:tblCellMar>
          <w:top w:w="28" w:type="dxa"/>
          <w:left w:w="28" w:type="dxa"/>
          <w:bottom w:w="28" w:type="dxa"/>
          <w:right w:w="28" w:type="dxa"/>
        </w:tblCellMar>
      </w:tblPr>
      <w:tblGrid>
        <w:gridCol w:w="499"/>
        <w:gridCol w:w="439"/>
        <w:gridCol w:w="442"/>
        <w:gridCol w:w="248"/>
        <w:gridCol w:w="725"/>
        <w:gridCol w:w="128"/>
        <w:gridCol w:w="128"/>
        <w:gridCol w:w="128"/>
        <w:gridCol w:w="128"/>
        <w:gridCol w:w="248"/>
        <w:gridCol w:w="477"/>
        <w:gridCol w:w="128"/>
        <w:gridCol w:w="109"/>
        <w:gridCol w:w="109"/>
        <w:gridCol w:w="109"/>
        <w:gridCol w:w="227"/>
        <w:gridCol w:w="665"/>
        <w:gridCol w:w="117"/>
        <w:gridCol w:w="117"/>
        <w:gridCol w:w="117"/>
        <w:gridCol w:w="117"/>
        <w:gridCol w:w="227"/>
        <w:gridCol w:w="552"/>
        <w:gridCol w:w="16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20"/>
        </w:rPr>
        <w:t>During the three months ended August 31, 2026, we recorded $141.5 million of special charges, including transaction and integration expenses. Those expenses consisted of $95.3 million</w:t>
      </w:r>
      <w:r>
        <w:rPr>
          <w:color w:val="000000"/>
          <w:shd w:fill="FFFFFF" w:val="clear"/>
        </w:rPr>
        <w:t xml:space="preserve"> </w:t>
      </w:r>
      <w:r>
        <w:rPr>
          <w:rFonts w:ascii="Times New Roman;serif" w:hAnsi="Times New Roman;serif"/>
          <w:b w:val="false"/>
          <w:color w:val="000000"/>
          <w:sz w:val="20"/>
          <w:shd w:fill="FFFFFF" w:val="clear"/>
        </w:rPr>
        <w:t>of transaction and integration costs,</w:t>
      </w:r>
      <w:r>
        <w:rPr>
          <w:color w:val="000000"/>
        </w:rPr>
        <w:t xml:space="preserve"> </w:t>
      </w:r>
      <w:r>
        <w:rPr>
          <w:rFonts w:ascii="Times New Roman;serif" w:hAnsi="Times New Roman;serif"/>
          <w:b w:val="false"/>
          <w:color w:val="000000"/>
          <w:sz w:val="20"/>
        </w:rPr>
        <w:t xml:space="preserve">$43.1 million </w:t>
      </w:r>
      <w:r>
        <w:rPr>
          <w:rFonts w:ascii="Times New Roman;serif" w:hAnsi="Times New Roman;serif"/>
          <w:b w:val="false"/>
          <w:color w:val="000000"/>
          <w:sz w:val="20"/>
          <w:shd w:fill="FFFFFF" w:val="clear"/>
        </w:rPr>
        <w:t xml:space="preserve">related to the impairment of long-lived assets,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associated with employee severance and related benefits associated with our SG&amp;A streamlining actions, and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 xml:space="preserve">associated with other actions, </w:t>
      </w:r>
      <w:r>
        <w:rPr>
          <w:rFonts w:ascii="Times New Roman;serif" w:hAnsi="Times New Roman;serif"/>
          <w:b w:val="false"/>
          <w:color w:val="000000"/>
          <w:sz w:val="20"/>
        </w:rPr>
        <w:t>including the exit costs incurred to cease operations at our development-stage pepper sourcing and agricultural technology project in Malaysia</w:t>
      </w:r>
      <w:r>
        <w:rPr>
          <w:rFonts w:ascii="Times New Roman;serif" w:hAnsi="Times New Roman;serif"/>
          <w:b w:val="false"/>
          <w:color w:val="000000"/>
          <w:sz w:val="20"/>
          <w:shd w:fill="FFFFFF" w:val="clear"/>
        </w:rPr>
        <w:t>.</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 months ended</w:t>
      </w:r>
      <w:r>
        <w:rPr>
          <w:color w:val="000000"/>
          <w:shd w:fill="FFFFFF" w:val="clear"/>
        </w:rPr>
        <w:t xml:space="preserve"> </w:t>
      </w:r>
      <w:r>
        <w:rPr>
          <w:rFonts w:ascii="Times New Roman;serif" w:hAnsi="Times New Roman;serif"/>
          <w:b w:val="false"/>
          <w:color w:val="000000"/>
          <w:sz w:val="20"/>
        </w:rPr>
        <w:t>August 31, 2026</w:t>
      </w:r>
      <w:r>
        <w:rPr>
          <w:rFonts w:ascii="Times New Roman;serif" w:hAnsi="Times New Roman;serif"/>
          <w:b w:val="false"/>
          <w:color w:val="000000"/>
          <w:sz w:val="20"/>
          <w:shd w:fill="FFFFFF" w:val="clear"/>
        </w:rPr>
        <w:t xml:space="preserve">, we recorded </w:t>
      </w:r>
      <w:r>
        <w:rPr>
          <w:rFonts w:ascii="Times New Roman;serif" w:hAnsi="Times New Roman;serif"/>
          <w:b w:val="false"/>
          <w:color w:val="000000"/>
          <w:sz w:val="20"/>
        </w:rPr>
        <w:t>$226.6 million</w:t>
      </w:r>
      <w:r>
        <w:rPr>
          <w:color w:val="000000"/>
          <w:shd w:fill="FFFFFF" w:val="clear"/>
        </w:rPr>
        <w:t xml:space="preserve"> </w:t>
      </w:r>
      <w:r>
        <w:rPr>
          <w:rFonts w:ascii="Times New Roman;serif" w:hAnsi="Times New Roman;serif"/>
          <w:b w:val="false"/>
          <w:color w:val="000000"/>
          <w:sz w:val="20"/>
          <w:shd w:fill="FFFFFF" w:val="clear"/>
        </w:rPr>
        <w:t xml:space="preserve">of special charges, including transaction and integration expenses. Those expenses consisted of </w:t>
      </w:r>
      <w:r>
        <w:rPr>
          <w:rFonts w:ascii="Times New Roman;serif" w:hAnsi="Times New Roman;serif"/>
          <w:b w:val="false"/>
          <w:color w:val="000000"/>
          <w:sz w:val="20"/>
        </w:rPr>
        <w:t>$160.8 million</w:t>
      </w:r>
      <w:r>
        <w:rPr>
          <w:color w:val="000000"/>
          <w:shd w:fill="FFFFFF" w:val="clear"/>
        </w:rPr>
        <w:t xml:space="preserve"> </w:t>
      </w:r>
      <w:r>
        <w:rPr>
          <w:rFonts w:ascii="Times New Roman;serif" w:hAnsi="Times New Roman;serif"/>
          <w:b w:val="false"/>
          <w:color w:val="000000"/>
          <w:sz w:val="20"/>
          <w:shd w:fill="FFFFFF" w:val="clear"/>
        </w:rPr>
        <w:t xml:space="preserve">of transaction and integration costs, </w:t>
      </w:r>
      <w:r>
        <w:rPr>
          <w:rFonts w:ascii="Times New Roman;serif" w:hAnsi="Times New Roman;serif"/>
          <w:b w:val="false"/>
          <w:color w:val="000000"/>
          <w:sz w:val="20"/>
        </w:rPr>
        <w:t>$43.1 million</w:t>
      </w:r>
      <w:r>
        <w:rPr>
          <w:color w:val="000000"/>
          <w:shd w:fill="FFFFFF" w:val="clear"/>
        </w:rPr>
        <w:t xml:space="preserve"> </w:t>
      </w:r>
      <w:r>
        <w:rPr>
          <w:rFonts w:ascii="Times New Roman;serif" w:hAnsi="Times New Roman;serif"/>
          <w:b w:val="false"/>
          <w:color w:val="000000"/>
          <w:sz w:val="20"/>
          <w:shd w:fill="FFFFFF" w:val="clear"/>
        </w:rPr>
        <w:t xml:space="preserve">related to the impairment of long-lived assets, </w:t>
      </w:r>
      <w:r>
        <w:rPr>
          <w:rFonts w:ascii="Times New Roman;serif" w:hAnsi="Times New Roman;serif"/>
          <w:b w:val="false"/>
          <w:color w:val="000000"/>
          <w:sz w:val="20"/>
        </w:rPr>
        <w:t>$19.8 million</w:t>
      </w:r>
      <w:r>
        <w:rPr>
          <w:color w:val="000000"/>
          <w:shd w:fill="FFFFFF" w:val="clear"/>
        </w:rPr>
        <w:t xml:space="preserve"> </w:t>
      </w:r>
      <w:r>
        <w:rPr>
          <w:rFonts w:ascii="Times New Roman;serif" w:hAnsi="Times New Roman;serif"/>
          <w:b w:val="false"/>
          <w:color w:val="000000"/>
          <w:sz w:val="20"/>
          <w:shd w:fill="FFFFFF" w:val="clear"/>
        </w:rPr>
        <w:t xml:space="preserve">associated with employee severance and related benefits associated with our SG&amp;A streamlining actions, and </w:t>
      </w:r>
      <w:r>
        <w:rPr>
          <w:rFonts w:ascii="Times New Roman;serif" w:hAnsi="Times New Roman;serif"/>
          <w:b w:val="false"/>
          <w:color w:val="000000"/>
          <w:sz w:val="20"/>
        </w:rPr>
        <w:t>$2.9 million</w:t>
      </w:r>
      <w:r>
        <w:rPr>
          <w:color w:val="000000"/>
          <w:shd w:fill="FFFFFF" w:val="clear"/>
        </w:rPr>
        <w:t xml:space="preserve"> </w:t>
      </w:r>
      <w:r>
        <w:rPr>
          <w:rFonts w:ascii="Times New Roman;serif" w:hAnsi="Times New Roman;serif"/>
          <w:b w:val="false"/>
          <w:color w:val="000000"/>
          <w:sz w:val="20"/>
          <w:shd w:fill="FFFFFF" w:val="clear"/>
        </w:rPr>
        <w:t xml:space="preserve">associated with other actions, </w:t>
      </w:r>
      <w:r>
        <w:rPr>
          <w:rFonts w:ascii="Times New Roman;serif" w:hAnsi="Times New Roman;serif"/>
          <w:b w:val="false"/>
          <w:color w:val="000000"/>
          <w:sz w:val="20"/>
        </w:rPr>
        <w:t>including the exit costs incurred to cease operations at our development-stage pepper sourcing and agricultural technology project in Malaysia</w:t>
      </w:r>
      <w:r>
        <w:rPr>
          <w:rFonts w:ascii="Times New Roman;serif" w:hAnsi="Times New Roman;serif"/>
          <w:b w:val="false"/>
          <w:color w:val="000000"/>
          <w:sz w:val="20"/>
          <w:shd w:fill="FFFFFF" w:val="clear"/>
        </w:rPr>
        <w:t>.</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31, 2025, we recorded $3.9 million of special charges, including transaction and integration expenses. Those expenses consisted of $1.3 million associated with employee severance and related benefits associated with our SG&amp;A streamlining actions, $1.7 million associated with other actions, and $0.9 million of transaction and integration costs.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2025, we recorded $16.7 million of special charges, including transaction and integration expenses. Those expenses consisted principally of $12.7 million associated with employee severance and related benefits associated with our SG&amp;A streamlining actions, $2.3 million associated with other actions, and $1.7 million of transaction and integration costs.</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Details with respect to the composition of special charges, including transaction and integration expenses, are included in </w:t>
      </w:r>
      <w:r>
        <w:rPr>
          <w:rFonts w:ascii="Times New Roman;serif" w:hAnsi="Times New Roman;serif"/>
          <w:b w:val="false"/>
          <w:color w:val="000000"/>
          <w:sz w:val="20"/>
        </w:rPr>
        <w:t>Note 3</w:t>
      </w:r>
      <w:r>
        <w:rPr>
          <w:color w:val="000000"/>
          <w:shd w:fill="FFFFFF" w:val="clear"/>
        </w:rPr>
        <w:t xml:space="preserve"> </w:t>
      </w:r>
      <w:r>
        <w:rPr>
          <w:rFonts w:ascii="Times New Roman;serif" w:hAnsi="Times New Roman;serif"/>
          <w:b w:val="false"/>
          <w:color w:val="000000"/>
          <w:sz w:val="20"/>
          <w:shd w:fill="FFFFFF" w:val="clear"/>
        </w:rPr>
        <w:t>of the notes to the accompanying condensed consolidated financial statements.</w:t>
      </w:r>
    </w:p>
    <w:p>
      <w:pPr>
        <w:pStyle w:val="TextBody"/>
        <w:bidi w:val="0"/>
        <w:spacing w:before="180" w:after="283"/>
        <w:jc w:val="left"/>
        <w:rPr/>
      </w:pPr>
      <w:r>
        <w:rPr/>
      </w:r>
    </w:p>
    <w:tbl>
      <w:tblPr>
        <w:tblW w:w="6532" w:type="dxa"/>
        <w:jc w:val="left"/>
        <w:tblInd w:w="0" w:type="dxa"/>
        <w:tblLayout w:type="fixed"/>
        <w:tblCellMar>
          <w:top w:w="28" w:type="dxa"/>
          <w:left w:w="28" w:type="dxa"/>
          <w:bottom w:w="28" w:type="dxa"/>
          <w:right w:w="28" w:type="dxa"/>
        </w:tblCellMar>
      </w:tblPr>
      <w:tblGrid>
        <w:gridCol w:w="565"/>
        <w:gridCol w:w="495"/>
        <w:gridCol w:w="499"/>
        <w:gridCol w:w="248"/>
        <w:gridCol w:w="601"/>
        <w:gridCol w:w="128"/>
        <w:gridCol w:w="128"/>
        <w:gridCol w:w="128"/>
        <w:gridCol w:w="128"/>
        <w:gridCol w:w="248"/>
        <w:gridCol w:w="601"/>
        <w:gridCol w:w="128"/>
        <w:gridCol w:w="109"/>
        <w:gridCol w:w="109"/>
        <w:gridCol w:w="109"/>
        <w:gridCol w:w="217"/>
        <w:gridCol w:w="634"/>
        <w:gridCol w:w="112"/>
        <w:gridCol w:w="112"/>
        <w:gridCol w:w="112"/>
        <w:gridCol w:w="112"/>
        <w:gridCol w:w="217"/>
        <w:gridCol w:w="634"/>
        <w:gridCol w:w="158"/>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$18.2 million and $28.7 million for the three and nine months ended August 31, 2026, respectively, compared to the same periods in 2025, driven by $12.4 million and $19.2 million, respectively, of amortization of debt financing fees related to our pending merger with Unilever Foods. Interest expense in the 2026 periods was also impacted by the effects of higher interest rates and higher average borrowing levels.</w:t>
      </w:r>
    </w:p>
    <w:p>
      <w:pPr>
        <w:pStyle w:val="TextBody"/>
        <w:bidi w:val="0"/>
        <w:spacing w:lineRule="auto" w:line="276" w:before="180" w:after="283"/>
        <w:jc w:val="left"/>
        <w:rPr/>
      </w:pPr>
      <w:r>
        <w:rPr>
          <w:rFonts w:ascii="Times New Roman;serif" w:hAnsi="Times New Roman;serif"/>
          <w:b w:val="false"/>
          <w:color w:val="000000"/>
          <w:sz w:val="20"/>
        </w:rPr>
        <w:t>Other income, net, decreased by $3.5 million and $11.8 million for the three and nine months ended August 31, 2026, respectively, compared to the same periods in 2025 due to a lower level of interest income driven primarily by the impact of the acquisition of McCormick de</w:t>
      </w:r>
      <w:r>
        <w:rPr>
          <w:color w:val="000000"/>
          <w:shd w:fill="FFFFFF" w:val="clear"/>
        </w:rPr>
        <w:t xml:space="preserve"> </w:t>
      </w:r>
      <w:r>
        <w:rPr>
          <w:rFonts w:ascii="Times New Roman;serif" w:hAnsi="Times New Roman;serif"/>
          <w:b w:val="false"/>
          <w:color w:val="000000"/>
          <w:sz w:val="20"/>
          <w:shd w:fill="FFFFFF" w:val="clear"/>
        </w:rPr>
        <w:t>Mexico on our average cash balance during the period.</w:t>
      </w:r>
    </w:p>
    <w:tbl>
      <w:tblPr>
        <w:tblW w:w="10205" w:type="dxa"/>
        <w:jc w:val="left"/>
        <w:tblInd w:w="0" w:type="dxa"/>
        <w:tblLayout w:type="fixed"/>
        <w:tblCellMar>
          <w:top w:w="28" w:type="dxa"/>
          <w:left w:w="28" w:type="dxa"/>
          <w:bottom w:w="28" w:type="dxa"/>
          <w:right w:w="28" w:type="dxa"/>
        </w:tblCellMar>
      </w:tblPr>
      <w:tblGrid>
        <w:gridCol w:w="1733"/>
        <w:gridCol w:w="1524"/>
        <w:gridCol w:w="1528"/>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8"/>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consolidated operations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August 31, 2026 increased by 16.4% compared to the same period in 2025 primarily driven by the unfavorable impact of nondeductible expenses and lower favorable discrete tax items.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August 31, 2026 increased by 8.6% compared to the same period in 2025 primarily driven by the unfavorable impact of nondeductible expenses and lower favorable discrete tax items.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tbl>
      <w:tblPr>
        <w:tblW w:w="8314" w:type="dxa"/>
        <w:jc w:val="left"/>
        <w:tblInd w:w="0" w:type="dxa"/>
        <w:tblLayout w:type="fixed"/>
        <w:tblCellMar>
          <w:top w:w="28" w:type="dxa"/>
          <w:left w:w="28" w:type="dxa"/>
          <w:bottom w:w="28" w:type="dxa"/>
          <w:right w:w="28" w:type="dxa"/>
        </w:tblCellMar>
      </w:tblPr>
      <w:tblGrid>
        <w:gridCol w:w="1211"/>
        <w:gridCol w:w="1066"/>
        <w:gridCol w:w="1068"/>
        <w:gridCol w:w="262"/>
        <w:gridCol w:w="504"/>
        <w:gridCol w:w="135"/>
        <w:gridCol w:w="135"/>
        <w:gridCol w:w="135"/>
        <w:gridCol w:w="135"/>
        <w:gridCol w:w="262"/>
        <w:gridCol w:w="634"/>
        <w:gridCol w:w="135"/>
        <w:gridCol w:w="109"/>
        <w:gridCol w:w="109"/>
        <w:gridCol w:w="109"/>
        <w:gridCol w:w="227"/>
        <w:gridCol w:w="665"/>
        <w:gridCol w:w="117"/>
        <w:gridCol w:w="117"/>
        <w:gridCol w:w="117"/>
        <w:gridCol w:w="117"/>
        <w:gridCol w:w="227"/>
        <w:gridCol w:w="552"/>
        <w:gridCol w:w="166"/>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operations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operations decreased $16.1 million for the three months ended August 31, 2026 compared to the same period of 2025. This decrease was primarily driven by the acquisition of an additional 25% ownership interest in McCormick de Mexico which resulted in the consolidation of McCormick de Mexico's financial results, which is described in more detail in Note 2 of the notes to our accompanying condensed consolidated financial statements.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Income from unconsolidated operations increased by $834.2 million for the nine months ended August 31, 2026 compared to the same period of 2025. This increase was primarily driven by a gain of $866.8 million on the remeasurement of our previously held equity interest in McCormick de Mexico, partially offset by the impact of consolidating McCormick de Mexico, which is described in more detail in Note 2 of the notes to our accompanying condensed consolidated financial statements.</w:t>
      </w:r>
    </w:p>
    <w:tbl>
      <w:tblPr>
        <w:tblW w:w="9214" w:type="dxa"/>
        <w:jc w:val="left"/>
        <w:tblInd w:w="0" w:type="dxa"/>
        <w:tblLayout w:type="fixed"/>
        <w:tblCellMar>
          <w:top w:w="28" w:type="dxa"/>
          <w:left w:w="28" w:type="dxa"/>
          <w:bottom w:w="28" w:type="dxa"/>
          <w:right w:w="28" w:type="dxa"/>
        </w:tblCellMar>
      </w:tblPr>
      <w:tblGrid>
        <w:gridCol w:w="1536"/>
        <w:gridCol w:w="1351"/>
        <w:gridCol w:w="1357"/>
        <w:gridCol w:w="262"/>
        <w:gridCol w:w="634"/>
        <w:gridCol w:w="135"/>
        <w:gridCol w:w="135"/>
        <w:gridCol w:w="135"/>
        <w:gridCol w:w="135"/>
        <w:gridCol w:w="262"/>
        <w:gridCol w:w="504"/>
        <w:gridCol w:w="135"/>
        <w:gridCol w:w="109"/>
        <w:gridCol w:w="109"/>
        <w:gridCol w:w="109"/>
        <w:gridCol w:w="252"/>
        <w:gridCol w:w="612"/>
        <w:gridCol w:w="130"/>
        <w:gridCol w:w="130"/>
        <w:gridCol w:w="130"/>
        <w:gridCol w:w="130"/>
        <w:gridCol w:w="252"/>
        <w:gridCol w:w="486"/>
        <w:gridCol w:w="184"/>
      </w:tblGrid>
      <w:tr>
        <w:trPr/>
        <w:tc>
          <w:tcPr>
            <w:tcW w:w="15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Net income attributable to noncontrolling interests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$7.8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August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$21.9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nine months ended August 31, 2026 </w:t>
      </w:r>
      <w:r>
        <w:rPr>
          <w:rFonts w:ascii="Times New Roman;serif" w:hAnsi="Times New Roman;serif"/>
          <w:b w:val="false"/>
          <w:color w:val="000000"/>
          <w:sz w:val="20"/>
          <w:shd w:fill="FFFFFF" w:val="clear"/>
        </w:rPr>
        <w:t xml:space="preserve">compared to the same periods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This increase was driven by the net income attributable to our noncontrolling interest in McCormick de Mexico upon its consolidation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the major components of the change in diluted earnings per share from 2025 to 2026:</w:t>
      </w:r>
    </w:p>
    <w:tbl>
      <w:tblPr>
        <w:tblW w:w="10205" w:type="dxa"/>
        <w:jc w:val="left"/>
        <w:tblInd w:w="0" w:type="dxa"/>
        <w:tblLayout w:type="fixed"/>
        <w:tblCellMar>
          <w:top w:w="28" w:type="dxa"/>
          <w:left w:w="28" w:type="dxa"/>
          <w:bottom w:w="28" w:type="dxa"/>
          <w:right w:w="28" w:type="dxa"/>
        </w:tblCellMar>
      </w:tblPr>
      <w:tblGrid>
        <w:gridCol w:w="2273"/>
        <w:gridCol w:w="1867"/>
        <w:gridCol w:w="1882"/>
        <w:gridCol w:w="453"/>
        <w:gridCol w:w="1244"/>
        <w:gridCol w:w="233"/>
        <w:gridCol w:w="109"/>
        <w:gridCol w:w="109"/>
        <w:gridCol w:w="109"/>
        <w:gridCol w:w="429"/>
        <w:gridCol w:w="1178"/>
        <w:gridCol w:w="319"/>
      </w:tblGrid>
      <w:tr>
        <w:trPr/>
        <w:tc>
          <w:tcPr>
            <w:tcW w:w="227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Earnings per share – diluted</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change in operating income</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special charges </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interest expense</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income, net</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tax gain on remeasurement of a previously held equity interest in McCormick de Mexico</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Impact of change in effective income tax rate, excluding taxes on special charges </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net income attributable to noncontrolling interest</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unconsolidated income</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Earnings per share – diluted</w:t>
            </w:r>
          </w:p>
        </w:tc>
        <w:tc>
          <w:tcPr>
            <w:tcW w:w="4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 — SEGMENTS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the performance of our business segments based on operating income, excluding special charges for the periods presented. See Note 12 of the notes to our accompanying condensed consolidated financial statements for additional information on our segment measures as well as for a reconciliation by segment of operating income, excluding special charges, to consolidated operating income. In the following discussion, we refer to our previously described measure of segment profit as segment operating income.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CONSUMER SEGMENT</w:t>
      </w:r>
    </w:p>
    <w:tbl>
      <w:tblPr>
        <w:tblW w:w="8778" w:type="dxa"/>
        <w:jc w:val="left"/>
        <w:tblInd w:w="0" w:type="dxa"/>
        <w:tblLayout w:type="fixed"/>
        <w:tblCellMar>
          <w:top w:w="28" w:type="dxa"/>
          <w:left w:w="28" w:type="dxa"/>
          <w:bottom w:w="28" w:type="dxa"/>
          <w:right w:w="28" w:type="dxa"/>
        </w:tblCellMar>
      </w:tblPr>
      <w:tblGrid>
        <w:gridCol w:w="1054"/>
        <w:gridCol w:w="923"/>
        <w:gridCol w:w="933"/>
        <w:gridCol w:w="211"/>
        <w:gridCol w:w="76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6"/>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increase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80" w:after="283"/>
        <w:jc w:val="left"/>
        <w:rPr/>
      </w:pPr>
      <w:r>
        <w:rPr>
          <w:rFonts w:ascii="Times New Roman;serif" w:hAnsi="Times New Roman;serif"/>
          <w:b w:val="false"/>
          <w:color w:val="000000"/>
          <w:sz w:val="20"/>
        </w:rPr>
        <w:t xml:space="preserve">In the third quarter of 2026, sales of our Consumer segment increased by 24.9% compared to the third quarter of 2025 and increased by 1.1% on an organic basis. The acquisition of McCormick de Mexico increased sales by 23.2%. Unfavorable </w:t>
      </w:r>
      <w:r>
        <w:rPr>
          <w:rFonts w:ascii="Times New Roman;serif" w:hAnsi="Times New Roman;serif"/>
          <w:b w:val="false"/>
          <w:color w:val="000000"/>
          <w:sz w:val="20"/>
          <w:shd w:fill="FFFFFF" w:val="clear"/>
        </w:rPr>
        <w:t>volume and product mix decreased sales by 1.1%, driven by declines in the Americas region which were partially offset by growth in the EMEA and APAC regions. Favorable pricing impacted sales by 2.2% primarily driven by the Americas and EMEA regions. The favorable impact of foreign currency rates increased sales by 0.6%.</w:t>
      </w:r>
    </w:p>
    <w:p>
      <w:pPr>
        <w:pStyle w:val="TextBody"/>
        <w:bidi w:val="0"/>
        <w:spacing w:lineRule="auto" w:line="276" w:before="180" w:after="283"/>
        <w:jc w:val="left"/>
        <w:rPr/>
      </w:pPr>
      <w:r>
        <w:rPr>
          <w:rFonts w:ascii="Times New Roman;serif" w:hAnsi="Times New Roman;serif"/>
          <w:b w:val="false"/>
          <w:color w:val="000000"/>
          <w:sz w:val="20"/>
        </w:rPr>
        <w:t xml:space="preserve">In the Americas region, Consumer segment sales increased by 31.7% in the third quarter of 2026 compared to the same quarter of 2025 and decreased by </w:t>
      </w:r>
      <w:r>
        <w:rPr>
          <w:rFonts w:ascii="Times New Roman;serif" w:hAnsi="Times New Roman;serif"/>
          <w:b w:val="false"/>
          <w:color w:val="000000"/>
          <w:sz w:val="20"/>
          <w:shd w:fill="FFFFFF" w:val="clear"/>
        </w:rPr>
        <w:t>0.3%</w:t>
      </w:r>
      <w:r>
        <w:rPr>
          <w:color w:val="000000"/>
        </w:rPr>
        <w:t xml:space="preserve"> </w:t>
      </w:r>
      <w:r>
        <w:rPr>
          <w:rFonts w:ascii="Times New Roman;serif" w:hAnsi="Times New Roman;serif"/>
          <w:b w:val="false"/>
          <w:color w:val="000000"/>
          <w:sz w:val="20"/>
        </w:rPr>
        <w:t>on an organic basis. The acquisition of McCormick de Mexico increased sales by 32.1%. Unfavorable volume and product mix decreased sales by 2.5% driven by lower consumption across core categories. Favorable pricing impacted sales by 2.2%. The unfavorable impact of foreign currency rates decreased sales by 0.1%.</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In the EMEA region, Consumer segment sales increased by 5.2% in the third quarter of 2026 compared to the same quarter of 2025 and increased by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on an organic basis. Favorable volume and product mix increased sales by 2.0%, driven by higher sales in Poland. Favorable pricing impacted sales by 3.0%. The favorable impact from foreign currency rates increased sales by 0.2%.</w:t>
      </w:r>
    </w:p>
    <w:p>
      <w:pPr>
        <w:pStyle w:val="TextBody"/>
        <w:bidi w:val="0"/>
        <w:spacing w:lineRule="auto" w:line="276"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APAC region, Consumer segment sales increased by 10.7% in the third quarter of 2026 compared to the same quarter of 2025 and increased by 4.4% on an organic basis. Favorable volume and product mix increased sales by 4.1%, driven by higher sales in China. Favorable pricing impacted sales by 0.3%. The favorable impact from foreign currency rates increased sales by 6.3%.</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August 31, 2026, sales of our Consumer segment increased 24.1% as compared to the same period in 2025 and increased by 1.2% on an organic basis. The acquisition of McCormick de Mexico increased sales by 20.9%. Unfavorable volume and product mix decreased sales by 1.2% driven by declines in the Americas region which were partially offset by growth in the EMEA and APAC regions. Favorable pricing impacted sales by 2.4% driven by the Americas and EMEA regions. The favorable impact from foreign currency rates increased sales by 2.0%.</w:t>
      </w:r>
    </w:p>
    <w:p>
      <w:pPr>
        <w:pStyle w:val="TextBody"/>
        <w:bidi w:val="0"/>
        <w:spacing w:lineRule="auto" w:line="276" w:before="180" w:after="283"/>
        <w:jc w:val="left"/>
        <w:rPr/>
      </w:pPr>
      <w:r>
        <w:rPr>
          <w:rFonts w:ascii="Times New Roman;serif" w:hAnsi="Times New Roman;serif"/>
          <w:b w:val="false"/>
          <w:color w:val="000000"/>
          <w:sz w:val="20"/>
        </w:rPr>
        <w:t>Segment operating income for our Consumer segment for the third quarter of 2026 increased by $47.3 million, or 24.4%, as compared to the same period of 2025 driven by an increase in gross profit, partially offset by an increase in SG&amp;A expense. The increase in gross profit was driven by the impacts of our acquisition of McCormick de Mexico, favorable pricing, and CCI-led cost savings, partially offset by increased commodity costs and higher freight costs, including the impact of the conflict in the Middle East. The increase in SG&amp;A expense was driven by the items described in the consolidated discussion. Segment operating margin decreased by 10 basis points to 19.8%</w:t>
      </w:r>
      <w:r>
        <w:rPr>
          <w:rFonts w:ascii="Times New Roman;serif" w:hAnsi="Times New Roman;serif"/>
          <w:b w:val="false"/>
          <w:color w:val="000000"/>
          <w:sz w:val="20"/>
          <w:shd w:fill="FFFFFF" w:val="clear"/>
        </w:rPr>
        <w:t>. On a constant currency basis, segment operating income increased by 23.8%.</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our Consumer segment for the nine months ended August 31, 2026 increased by $133.5 million, or 26.5%, as compared to the same period in 2025, driven by the effects of an increase in gross profit partially offset by an increase in SG&amp;A expense. The increase in gross profit was driven by the impacts of our acquisition of McCormick de Mexico, the IEEPA tariff refund, favorable pricing, and CCI-led cost savings, partially offset by increased commodity costs and higher freight costs, including the impact of the conflict in the Middle East. The increase in SG&amp;A expense was driven by the items described in the consolidated discussion. Segment operating margin increased by 30 basis points to 18.2%. On a constant currency basis, segment operating income increased by 25.1%.</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280" w:after="180"/>
        <w:jc w:val="left"/>
        <w:rPr>
          <w:rFonts w:ascii="Times New Roman;serif" w:hAnsi="Times New Roman;serif"/>
          <w:b w:val="false"/>
          <w:color w:val="000000"/>
          <w:sz w:val="20"/>
        </w:rPr>
      </w:pPr>
      <w:r>
        <w:rPr>
          <w:rFonts w:ascii="Times New Roman;serif" w:hAnsi="Times New Roman;serif"/>
          <w:b w:val="false"/>
          <w:color w:val="000000"/>
          <w:sz w:val="20"/>
        </w:rPr>
        <w:t>FLAVOR SOLUTIONS SEGMENT</w:t>
      </w:r>
    </w:p>
    <w:tbl>
      <w:tblPr>
        <w:tblW w:w="8628" w:type="dxa"/>
        <w:jc w:val="left"/>
        <w:tblInd w:w="0" w:type="dxa"/>
        <w:tblLayout w:type="fixed"/>
        <w:tblCellMar>
          <w:top w:w="28" w:type="dxa"/>
          <w:left w:w="28" w:type="dxa"/>
          <w:bottom w:w="28" w:type="dxa"/>
          <w:right w:w="28" w:type="dxa"/>
        </w:tblCellMar>
      </w:tblPr>
      <w:tblGrid>
        <w:gridCol w:w="1054"/>
        <w:gridCol w:w="923"/>
        <w:gridCol w:w="933"/>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316"/>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Percent increase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In the third quarter of 2026, sales of our Flavor Solutions segment increased by 7.7% as compared to the third quarter of 2025 and increased by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shd w:fill="FFFFFF" w:val="clear"/>
        </w:rPr>
        <w:t xml:space="preserve">on an organic basis. The acquisition of McCormick de Mexico increased sales by 3.4%. Favorable volume and product mix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sales by 0.8% driven by the APAC region, partially offset by lower sales in the Americas and EMEA regions. Favorable pricing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sales by 2.2% driven by the Americas and EMEA regions, partially offset by unfavorable pricing in the APAC region. The favorable impact of foreign currency rates increased sales by 1.3%.</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In the Americas region, Flavor Solutions sales increased by 8.4% in the third quarter of 2026 compared to the third quarter of 2025 and increased by 2.7% on an organic basis. The acquisition of McCormick de Mexico increased sales by </w:t>
      </w:r>
      <w:r>
        <w:rPr>
          <w:rFonts w:ascii="Times New Roman;serif" w:hAnsi="Times New Roman;serif"/>
          <w:b w:val="false"/>
          <w:color w:val="000000"/>
          <w:sz w:val="20"/>
        </w:rPr>
        <w:t>4.9%.</w:t>
      </w:r>
      <w:r>
        <w:rPr>
          <w:color w:val="000000"/>
          <w:shd w:fill="FFFFFF" w:val="clear"/>
        </w:rPr>
        <w:t xml:space="preserve"> </w:t>
      </w:r>
      <w:r>
        <w:rPr>
          <w:rFonts w:ascii="Times New Roman;serif" w:hAnsi="Times New Roman;serif"/>
          <w:b w:val="false"/>
          <w:color w:val="000000"/>
          <w:sz w:val="20"/>
        </w:rPr>
        <w:t>Unfavorable</w:t>
      </w:r>
      <w:r>
        <w:rPr>
          <w:color w:val="000000"/>
          <w:shd w:fill="FFFFFF" w:val="clear"/>
        </w:rPr>
        <w:t xml:space="preserve"> </w:t>
      </w:r>
      <w:r>
        <w:rPr>
          <w:rFonts w:ascii="Times New Roman;serif" w:hAnsi="Times New Roman;serif"/>
          <w:b w:val="false"/>
          <w:color w:val="000000"/>
          <w:sz w:val="20"/>
          <w:shd w:fill="FFFFFF" w:val="clear"/>
        </w:rPr>
        <w:t>volume and product mix decreased sales by 0.1%. Favorable pricing impacted sales by 2.8%. The favorable impact from foreign currency rates increased sales by 0.8%</w:t>
      </w:r>
      <w:r>
        <w:rPr>
          <w:rFonts w:ascii="Times New Roman;serif" w:hAnsi="Times New Roman;serif"/>
          <w:b w:val="false"/>
          <w:color w:val="000000"/>
          <w:sz w:val="20"/>
        </w:rPr>
        <w:t>.</w:t>
      </w:r>
    </w:p>
    <w:p>
      <w:pPr>
        <w:pStyle w:val="TextBody"/>
        <w:bidi w:val="0"/>
        <w:spacing w:lineRule="auto" w:line="276" w:before="180" w:after="283"/>
        <w:jc w:val="left"/>
        <w:rPr/>
      </w:pPr>
      <w:r>
        <w:rPr>
          <w:rFonts w:ascii="Times New Roman;serif" w:hAnsi="Times New Roman;serif"/>
          <w:b w:val="false"/>
          <w:color w:val="000000"/>
          <w:sz w:val="20"/>
        </w:rPr>
        <w:t>In the EMEA region, Flavor Solutions sales increased by 1.6% in the third quarter of 2026 compared to the third quarter of 2025 and increased by 1.2% on an organic basis. Unfavorable</w:t>
      </w:r>
      <w:r>
        <w:rPr>
          <w:color w:val="000000"/>
          <w:shd w:fill="FFFFFF" w:val="clear"/>
        </w:rPr>
        <w:t xml:space="preserve"> </w:t>
      </w:r>
      <w:r>
        <w:rPr>
          <w:rFonts w:ascii="Times New Roman;serif" w:hAnsi="Times New Roman;serif"/>
          <w:b w:val="false"/>
          <w:color w:val="000000"/>
          <w:sz w:val="20"/>
          <w:shd w:fill="FFFFFF" w:val="clear"/>
        </w:rPr>
        <w:t xml:space="preserve">volume and product mix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sales by 1.0% driven by the effect of lower sales to quick-service restaurant customers. Favorable pricing impacted sales by </w:t>
      </w:r>
      <w:r>
        <w:rPr>
          <w:rFonts w:ascii="Times New Roman;serif" w:hAnsi="Times New Roman;serif"/>
          <w:b w:val="false"/>
          <w:color w:val="000000"/>
          <w:sz w:val="20"/>
        </w:rPr>
        <w:t>2.2%</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favorable impact from foreign currency rates increased sales by 0.4%.</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In the APAC region, Flavor Solutions sales increased by 14.2% in the third quarter of 2026 compared to the third quarter of 2025, and increased by 8.3% on an organic basis. Favorable volume and product mix increased sales by 10.0%, primarily driven by growth in China. Pricing </w:t>
      </w:r>
      <w:r>
        <w:rPr>
          <w:rFonts w:ascii="Times New Roman;serif" w:hAnsi="Times New Roman;serif"/>
          <w:b w:val="false"/>
          <w:color w:val="000000"/>
          <w:sz w:val="20"/>
        </w:rPr>
        <w:t>unfavorably</w:t>
      </w:r>
      <w:r>
        <w:rPr>
          <w:color w:val="000000"/>
          <w:shd w:fill="FFFFFF" w:val="clear"/>
        </w:rPr>
        <w:t xml:space="preserve"> </w:t>
      </w:r>
      <w:r>
        <w:rPr>
          <w:rFonts w:ascii="Times New Roman;serif" w:hAnsi="Times New Roman;serif"/>
          <w:b w:val="false"/>
          <w:color w:val="000000"/>
          <w:sz w:val="20"/>
          <w:shd w:fill="FFFFFF" w:val="clear"/>
        </w:rPr>
        <w:t>impacted sales by 1.7%. The favorable impact from foreign currency rates increased sales by 5.9%.</w:t>
      </w:r>
    </w:p>
    <w:p>
      <w:pPr>
        <w:pStyle w:val="TextBody"/>
        <w:bidi w:val="0"/>
        <w:spacing w:lineRule="auto" w:line="276" w:before="18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August 31, 2026</w:t>
      </w:r>
      <w:r>
        <w:rPr>
          <w:rFonts w:ascii="Times New Roman;serif" w:hAnsi="Times New Roman;serif"/>
          <w:b w:val="false"/>
          <w:color w:val="000000"/>
          <w:sz w:val="20"/>
          <w:shd w:fill="FFFFFF" w:val="clear"/>
        </w:rPr>
        <w:t xml:space="preserve">, sales of our Flavor Solutions segment increased 7.6% as compared to the same period in 2025 and increased by 2.1% on an organic basis. The acquisition of McCormick de Mexico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sales by </w:t>
      </w:r>
      <w:r>
        <w:rPr>
          <w:rFonts w:ascii="Times New Roman;serif" w:hAnsi="Times New Roman;serif"/>
          <w:b w:val="false"/>
          <w:color w:val="000000"/>
          <w:sz w:val="20"/>
        </w:rPr>
        <w:t>3.0%</w:t>
      </w:r>
      <w:r>
        <w:rPr>
          <w:rFonts w:ascii="Times New Roman;serif" w:hAnsi="Times New Roman;serif"/>
          <w:b w:val="false"/>
          <w:color w:val="000000"/>
          <w:sz w:val="20"/>
          <w:shd w:fill="FFFFFF" w:val="clear"/>
        </w:rPr>
        <w:t>. Favorable volume and product mix increased sales by 0.4% driven primarily by growth in the APAC region. Favorable pricing increased sales by 1.7%, driven by the Americas and EMEA regions partially offset by unfavorable pricing in the APAC region. The favorable impact of foreign currency rates increased segment sales by 2.5%</w:t>
      </w:r>
      <w:r>
        <w:rPr>
          <w:rFonts w:ascii="Times New Roman;serif" w:hAnsi="Times New Roman;serif"/>
          <w:b w:val="false"/>
          <w:color w:val="000000"/>
          <w:sz w:val="20"/>
        </w:rPr>
        <w:t>.</w:t>
      </w:r>
    </w:p>
    <w:p>
      <w:pPr>
        <w:pStyle w:val="TextBody"/>
        <w:bidi w:val="0"/>
        <w:spacing w:lineRule="auto" w:line="276" w:before="180" w:after="283"/>
        <w:jc w:val="left"/>
        <w:rPr/>
      </w:pPr>
      <w:r>
        <w:rPr>
          <w:rFonts w:ascii="Times New Roman;serif" w:hAnsi="Times New Roman;serif"/>
          <w:b w:val="false"/>
          <w:color w:val="000000"/>
          <w:sz w:val="20"/>
        </w:rPr>
        <w:t>Segment operating income for our Flavor Solutions segment for the third quarter of 2026 increased by $17.6 million, or 17.6%, compared to the same period of 2025 driven by an increase in gross profit partially offset by an increase in SG&amp;A expense. The increase in gross profit was driven by favorable pricing, the impact of our acquisition of McCormick de Mexico, and CCI-led cost savings. The increase in SG&amp;A expense was driven by the impact of the McCormick de Mexico acquisition and increased investments in technology. Segment operating margin increased</w:t>
      </w:r>
      <w:r>
        <w:rPr>
          <w:color w:val="000000"/>
          <w:shd w:fill="FFFFFF" w:val="clear"/>
        </w:rPr>
        <w:t xml:space="preserve"> </w:t>
      </w:r>
      <w:r>
        <w:rPr>
          <w:rFonts w:ascii="Times New Roman;serif" w:hAnsi="Times New Roman;serif"/>
          <w:b w:val="false"/>
          <w:color w:val="000000"/>
          <w:sz w:val="20"/>
          <w:shd w:fill="FFFFFF" w:val="clear"/>
        </w:rPr>
        <w:t xml:space="preserve">by 120 basis points to 14.5%. </w:t>
      </w:r>
      <w:r>
        <w:rPr>
          <w:rFonts w:ascii="Times New Roman;serif" w:hAnsi="Times New Roman;serif"/>
          <w:b w:val="false"/>
          <w:color w:val="000000"/>
          <w:sz w:val="20"/>
        </w:rPr>
        <w:t>On a constant currency basis, segment operating income increased by 15.4%.</w:t>
      </w:r>
    </w:p>
    <w:p>
      <w:pPr>
        <w:pStyle w:val="TextBody"/>
        <w:bidi w:val="0"/>
        <w:spacing w:lineRule="auto" w:line="276" w:before="180" w:after="283"/>
        <w:jc w:val="left"/>
        <w:rPr/>
      </w:pPr>
      <w:r>
        <w:rPr>
          <w:rFonts w:ascii="Times New Roman;serif" w:hAnsi="Times New Roman;serif"/>
          <w:b w:val="false"/>
          <w:color w:val="000000"/>
          <w:sz w:val="20"/>
        </w:rPr>
        <w:t>Segment operating income for our Flavor Solutions segment for the nine months ended August 31, 2026 increased by $51.6 million, or 18.9%, compared to the same period in 2025, driven by the effects of an increase in gross profit partially offset by an increase in SG&amp;A expense. The increase in gross profit was driven by favorable pricing, the impact of our acquisition of McCormick de Mexico, and CCI-led cost savings. The increase in SG&amp;A expense was driven by the impact of the McCormick de Mexico acquisition and increased investments in technology. Segment operating margin increased b</w:t>
      </w:r>
      <w:r>
        <w:rPr>
          <w:rFonts w:ascii="Times New Roman;serif" w:hAnsi="Times New Roman;serif"/>
          <w:b w:val="false"/>
          <w:color w:val="000000"/>
          <w:sz w:val="20"/>
          <w:shd w:fill="FFFFFF" w:val="clear"/>
        </w:rPr>
        <w:t>y 130 basis points to 13.9%. O</w:t>
      </w:r>
      <w:r>
        <w:rPr>
          <w:rFonts w:ascii="Times New Roman;serif" w:hAnsi="Times New Roman;serif"/>
          <w:b w:val="false"/>
          <w:color w:val="000000"/>
          <w:sz w:val="20"/>
        </w:rPr>
        <w:t>n a constant currency basis, segment operating income increased by 15.2%.</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MARKET RISK SENSITIVITY</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derivative financial instruments to enhance our ability to manage risk, including foreign exchange, interest rate, and commodity exposures, which exist as part of our ongoing business operations. We do not enter into contracts for trading purposes, nor are we a party to any leveraged derivative instrument. The use of derivative financial instruments is monitored through regular communication with senior management and the utilization of written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Foreign Exchange Risk</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risk affecting net investments in subsidiaries, transactions (both third-party and intercompany) and earnings denominated in foreign currencies. Management assesses foreign currency risk based on transactional cash flows and translational volatility and may enter into forward contract and currency swaps with highly-rated financial institutions to reduce fluctuations in the long or short currency positions. All derivatives are designated as hedges.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notional values and unrealized net gains (losses) of the portfolio of our forward foreign currency and cross currency swap contracts:</w:t>
      </w:r>
    </w:p>
    <w:tbl>
      <w:tblPr>
        <w:tblW w:w="5381" w:type="dxa"/>
        <w:jc w:val="left"/>
        <w:tblInd w:w="0" w:type="dxa"/>
        <w:tblLayout w:type="fixed"/>
        <w:tblCellMar>
          <w:top w:w="28" w:type="dxa"/>
          <w:left w:w="28" w:type="dxa"/>
          <w:bottom w:w="28" w:type="dxa"/>
          <w:right w:w="28" w:type="dxa"/>
        </w:tblCellMar>
      </w:tblPr>
      <w:tblGrid>
        <w:gridCol w:w="803"/>
        <w:gridCol w:w="707"/>
        <w:gridCol w:w="709"/>
        <w:gridCol w:w="247"/>
        <w:gridCol w:w="900"/>
        <w:gridCol w:w="128"/>
        <w:gridCol w:w="109"/>
        <w:gridCol w:w="109"/>
        <w:gridCol w:w="109"/>
        <w:gridCol w:w="291"/>
        <w:gridCol w:w="1057"/>
        <w:gridCol w:w="212"/>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 gain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outstanding notional value is a result of our decisions on foreign currency exposure coverage, based on our foreign currency and foreign currency translation exposures.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Rate Risk</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manage our interest rate exposure by entering into both fixed and variable rate debt arrangements. We use interest rate swaps to minimize worldwide financing costs and to achieve a desired mix of fixed and variable rate debt. We do not enter into contracts for trading purposes, nor are we a party to any leveraged derivative instruments, and all derivatives are designated as hedges.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notional values and unrealized net gains (losses) of our interest rate swap contracts:</w:t>
      </w:r>
    </w:p>
    <w:tbl>
      <w:tblPr>
        <w:tblW w:w="4825" w:type="dxa"/>
        <w:jc w:val="left"/>
        <w:tblInd w:w="0" w:type="dxa"/>
        <w:tblLayout w:type="fixed"/>
        <w:tblCellMar>
          <w:top w:w="28" w:type="dxa"/>
          <w:left w:w="28" w:type="dxa"/>
          <w:bottom w:w="28" w:type="dxa"/>
          <w:right w:w="28" w:type="dxa"/>
        </w:tblCellMar>
      </w:tblPr>
      <w:tblGrid>
        <w:gridCol w:w="601"/>
        <w:gridCol w:w="530"/>
        <w:gridCol w:w="533"/>
        <w:gridCol w:w="287"/>
        <w:gridCol w:w="839"/>
        <w:gridCol w:w="148"/>
        <w:gridCol w:w="109"/>
        <w:gridCol w:w="109"/>
        <w:gridCol w:w="109"/>
        <w:gridCol w:w="335"/>
        <w:gridCol w:w="980"/>
        <w:gridCol w:w="245"/>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loss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values of our interest rate swap contracts is due to changes in interest rates on the notional amounts outstanding as of each date as well as the remaining duration of our interest rate derivative contracts. </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Commodity Risk</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certain raw materials which are subject to price volatility caused by weather, market conditions, growing and harvesting conditions, governmental actions, and other factors beyond our control. Our most significant raw materials are dairy products, pepper, onion, garlic, capsicums (red peppers and paprika), salt, tomato products, sugar, and soybean oil. While future movements of raw material costs are uncertain, we respond to this volatility in a number of ways, including strategic raw material purchases, purchases of raw material for future delivery, customer price adjustments, and the use of derivative instruments. Our use of commodity derivatives is currently limited to swaps, futures, and options to reduce our exposure to the price volatility of soybean oil.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notional values and unrealized net gains (losses) of our commodity contracts:</w:t>
      </w:r>
    </w:p>
    <w:tbl>
      <w:tblPr>
        <w:tblW w:w="4871" w:type="dxa"/>
        <w:jc w:val="left"/>
        <w:tblInd w:w="0" w:type="dxa"/>
        <w:tblLayout w:type="fixed"/>
        <w:tblCellMar>
          <w:top w:w="28" w:type="dxa"/>
          <w:left w:w="28" w:type="dxa"/>
          <w:bottom w:w="28" w:type="dxa"/>
          <w:right w:w="28" w:type="dxa"/>
        </w:tblCellMar>
      </w:tblPr>
      <w:tblGrid>
        <w:gridCol w:w="618"/>
        <w:gridCol w:w="545"/>
        <w:gridCol w:w="547"/>
        <w:gridCol w:w="287"/>
        <w:gridCol w:w="839"/>
        <w:gridCol w:w="148"/>
        <w:gridCol w:w="109"/>
        <w:gridCol w:w="109"/>
        <w:gridCol w:w="109"/>
        <w:gridCol w:w="426"/>
        <w:gridCol w:w="821"/>
        <w:gridCol w:w="313"/>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30,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net gain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Risk</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customers of our Consumer segment are predominantly food retailers and food wholesalers. Consolidations in these industries have created larger customers. In addition, competition has increased with the growth in alternative channels including mass merchandisers, dollar stores, warehouse clubs, discount chains, and e-commerce. This has caused some customers to be less profitable and increased our exposure to credit risk. Some of our customers and counterparties are highly leveraged. We continue to closely monitor the credit worthiness of our customers and counterparties. We believe that our allowance for credit losses properly recognizes trade receivables at realizable value. We consider nonperformance credit risk for other financial instruments to be insignificant.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financial measures of organic net sales, adjusted gross profit, adjusted gross profit margin, adjusted operating income, adjusted operating income margin, adjusted income tax expense, adjusted income tax rate, adjusted net income, and adjusted diluted earnings per share. These represent non-GAAP financial measures which are prepared as a complement to our financial results prepared in accordance with United States generally accepted accounting principles. These financial measures exclude the impact, as applicable, of the following:</w:t>
      </w:r>
    </w:p>
    <w:p>
      <w:pPr>
        <w:pStyle w:val="TextBody"/>
        <w:bidi w:val="0"/>
        <w:spacing w:lineRule="auto" w:line="276" w:before="180" w:after="283"/>
        <w:ind w:left="0" w:right="0" w:hanging="360"/>
        <w:jc w:val="left"/>
        <w:rPr/>
      </w:pPr>
      <w:r>
        <w:rPr>
          <w:color w:val="000000"/>
        </w:rPr>
        <w:t>•</w:t>
      </w:r>
      <w:r>
        <w:rPr>
          <w:rFonts w:ascii="Times New Roman;serif" w:hAnsi="Times New Roman;serif"/>
          <w:b w:val="false"/>
          <w:color w:val="000000"/>
          <w:sz w:val="20"/>
        </w:rPr>
        <w:t xml:space="preserve">Special charges - Special charges consist of expenses and income associated with certain actions undertaken by us to reduce fixed costs, simplify or improve processes, and improve our competitiveness and are of such significance in terms of both up-front costs and organizational/structural impact to require advance approval by our Management Committee. Expenses associated with the approved actions are classified as special charges upon recognition and monitored on an ongoing basis through completion. Included in special charges are transaction and integration costs incurred in conjunction with acquisitions and impairments of long-lived assets. </w:t>
      </w:r>
    </w:p>
    <w:p>
      <w:pPr>
        <w:pStyle w:val="TextBody"/>
        <w:bidi w:val="0"/>
        <w:spacing w:lineRule="auto" w:line="276" w:before="180" w:after="283"/>
        <w:ind w:left="0" w:right="0" w:hanging="360"/>
        <w:jc w:val="left"/>
        <w:rPr/>
      </w:pPr>
      <w:r>
        <w:rPr>
          <w:color w:val="000000"/>
        </w:rPr>
        <w:t>•</w:t>
      </w:r>
      <w:r>
        <w:rPr>
          <w:rFonts w:ascii="Times New Roman;serif" w:hAnsi="Times New Roman;serif"/>
          <w:b w:val="false"/>
          <w:color w:val="000000"/>
          <w:sz w:val="20"/>
        </w:rPr>
        <w:t xml:space="preserve">Gain on remeasurement of previously held equity interest - On January 2, 2026, we completed the acquisition of an additional 25% ownership interest in McCormick de Mexico which increased our ownership to a 75% controlling interest. Prior to the acquisition of the additional ownership interest, we accounted for our 50% ownership interest as an equity method investment. The acquisition of the additional ownership interest resulted in the consolidation of McCormick de Mexico's financial results. As a result of the consolidation, the carrying value of our previously held 50% ownership interest was remeasured to fair value resulting in a gain.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Details with respect to the composition of special charges, including transaction and integration expenses, set forth below are included in Note 3 of the notes to our accompanying condensed consolidated financial statements. Details with respect to our gain on the revaluation of a previously held equity interest in McCormick de Mexico are included in Note 2 of the notes to our accompanying condensed consolidated financial statements.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Details with respect to the composition of special charges, including transaction and integration expenses, for the year ended November 30, 2025 are included in Note 2 of the notes to the consolidated financial statements included in our Annual Report on Form 10-K for the year ended November 30, 2025.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these non-GAAP financial measures are important. The exclusion of the items noted above provides additional information that enables enhanced comparisons to prior periods and, accordingly, facilitates the development of future projections and earnings growth prospects. This information is also used by management to measure the profitability of our ongoing operations and analyze our business performance and trends.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may be considered in addition to results prepared in accordance with GAAP; however, they should not be viewed as a substitute for, or superior to, GAAP results. Furthermore, these non-GAAP financial measures may not be comparable to similarly titled measures of other companies, as they may calculate them differently than we do. We intend to continue providing these non-GAAP financial measures as part of our future earnings discussions, ensuring consistency in our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these non-GAAP financial measures to the related GAAP financial measures follows:</w:t>
      </w:r>
    </w:p>
    <w:tbl>
      <w:tblPr>
        <w:tblW w:w="10205" w:type="dxa"/>
        <w:jc w:val="left"/>
        <w:tblInd w:w="0" w:type="dxa"/>
        <w:tblLayout w:type="fixed"/>
        <w:tblCellMar>
          <w:top w:w="28" w:type="dxa"/>
          <w:left w:w="28" w:type="dxa"/>
          <w:bottom w:w="28" w:type="dxa"/>
          <w:right w:w="28" w:type="dxa"/>
        </w:tblCellMar>
      </w:tblPr>
      <w:tblGrid>
        <w:gridCol w:w="1168"/>
        <w:gridCol w:w="595"/>
        <w:gridCol w:w="533"/>
        <w:gridCol w:w="277"/>
        <w:gridCol w:w="1009"/>
        <w:gridCol w:w="357"/>
        <w:gridCol w:w="109"/>
        <w:gridCol w:w="109"/>
        <w:gridCol w:w="109"/>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271"/>
        <w:gridCol w:w="109"/>
        <w:gridCol w:w="157"/>
      </w:tblGrid>
      <w:tr>
        <w:trPr/>
        <w:tc>
          <w:tcPr>
            <w:tcW w:w="116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 the year ended 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Special charges included in cost of goods sold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profit margin</w:t>
            </w:r>
            <w:r>
              <w:rPr>
                <w:rFonts w:ascii="Times New Roman;serif" w:hAnsi="Times New Roman;serif"/>
                <w:b w:val="false"/>
                <w:color w:val="000000"/>
                <w:sz w:val="12"/>
              </w:rPr>
              <w:t>(1)</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Special charges</w:t>
            </w:r>
            <w:r>
              <w:rPr>
                <w:rFonts w:ascii="Times New Roman;serif" w:hAnsi="Times New Roman;serif"/>
                <w:b w:val="false"/>
                <w:color w:val="000000"/>
                <w:sz w:val="12"/>
              </w:rPr>
              <w:t>(1)</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gross profit margin</w:t>
            </w:r>
            <w:r>
              <w:rPr>
                <w:rFonts w:ascii="Times New Roman;serif" w:hAnsi="Times New Roman;serif"/>
                <w:b w:val="false"/>
                <w:color w:val="000000"/>
                <w:sz w:val="12"/>
              </w:rPr>
              <w:t>(1)</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Special charges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 margin</w:t>
            </w:r>
            <w:r>
              <w:rPr>
                <w:rFonts w:ascii="Times New Roman;serif" w:hAnsi="Times New Roman;serif"/>
                <w:b w:val="false"/>
                <w:color w:val="000000"/>
                <w:sz w:val="12"/>
              </w:rPr>
              <w:t>(2)</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Special charges</w:t>
            </w:r>
            <w:r>
              <w:rPr>
                <w:rFonts w:ascii="Times New Roman;serif" w:hAnsi="Times New Roman;serif"/>
                <w:b w:val="false"/>
                <w:color w:val="000000"/>
                <w:sz w:val="12"/>
              </w:rPr>
              <w:t>(2)</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margin</w:t>
            </w:r>
            <w:r>
              <w:rPr>
                <w:rFonts w:ascii="Times New Roman;serif" w:hAnsi="Times New Roman;serif"/>
                <w:b w:val="false"/>
                <w:color w:val="000000"/>
                <w:sz w:val="12"/>
              </w:rPr>
              <w:t>(2)</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of Special charges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 expense</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rate</w:t>
            </w:r>
            <w:r>
              <w:rPr>
                <w:rFonts w:ascii="Times New Roman;serif" w:hAnsi="Times New Roman;serif"/>
                <w:b w:val="false"/>
                <w:color w:val="000000"/>
                <w:sz w:val="12"/>
              </w:rPr>
              <w:t>(3)</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of Special charges </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tax rate</w:t>
            </w:r>
            <w:r>
              <w:rPr>
                <w:rFonts w:ascii="Times New Roman;serif" w:hAnsi="Times New Roman;serif"/>
                <w:b w:val="false"/>
                <w:color w:val="000000"/>
                <w:sz w:val="12"/>
              </w:rPr>
              <w:t>(3)</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McCormick &amp; Company</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Special charges, net of non-controlling interest</w:t>
            </w:r>
            <w:r>
              <w:rPr>
                <w:rFonts w:ascii="Times New Roman;serif" w:hAnsi="Times New Roman;serif"/>
                <w:b w:val="false"/>
                <w:color w:val="000000"/>
                <w:sz w:val="12"/>
              </w:rPr>
              <w:t>(4)(5)</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equity interest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Special charges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equity interest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 diluted</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639"/>
        <w:gridCol w:w="639"/>
        <w:gridCol w:w="639"/>
        <w:gridCol w:w="639"/>
        <w:gridCol w:w="639"/>
        <w:gridCol w:w="639"/>
        <w:gridCol w:w="639"/>
        <w:gridCol w:w="639"/>
        <w:gridCol w:w="639"/>
        <w:gridCol w:w="639"/>
        <w:gridCol w:w="639"/>
        <w:gridCol w:w="639"/>
        <w:gridCol w:w="639"/>
        <w:gridCol w:w="639"/>
        <w:gridCol w:w="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15"/>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impact of special charges, and adjusted gross profit margin are calculated as gross profit, impact of special charges, and adjusted gross profit as a percentage of net sales for each period presented. The impact of special charges included in cost of goods sold represents the step-up of acquired inventory recognized in cost of goods sold as the related inventory was sold.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15"/>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 impact of special charges, and adjusted operating income margin are calculated as operating income, impact of special charges, and adjusted operating income as a percentage of net sales for each period presented.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rate is calculated as income tax expense as a percentage of income from consolidated operations before income taxes. Adjusted income tax rate is calculated as adjusted income tax expense as a percentage of income from consolidated operations before income taxes excluding special charges of $308.4 million and $252.8 million for the three months ended August 31, 2026 and 2025, respectively, and $820.5 million and $656.7 million for the nine months ended August 31, 2026 and 2025, respectively. Adjusted income tax rate is calculated as adjusted income tax expense as a percentage of income from consolidated operations before income taxes excluding special charges of $936.2 million for the year ended November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special charges, net of noncontrolling interests, for the nine months ended August 31, 2026 includes a $2.6 million non-controlling interest effect associated with the step-up of acquired inventory recognized in cost of goods sold as the related inventory was sold.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15"/>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impact of special charges, net of noncontrolling interests, for the three and nine months ended August 31, 2026 includes a net income impact of $12.4 million and $19.2 million, respectively, related to transaction expenses included in interest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we are a multi-national company, we are subject to variability of our reported U.S. dollar results due to changes in foreign currency exchange rates. Those changes can be volatile. The exclusion of the effects of foreign currency exchange, or what we refer to as amounts expressed “on a constant currency basis,” is a non-GAAP measure. We believe that this non-GAAP measure provides additional information that enables enhanced comparison to prior periods excluding the translation effects of changes in rates of foreign currency exchange and provides additional insight into the underlying performance of our operations located outside of the U.S. It should be noted that our presentation herein of amounts and percentage changes on a constant currency basis does not exclude the impact of foreign currency transaction gains and losses (that is, the impact of transactions denominated in other than the local currency of any of our subsidiaries in their local currency reported results).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provide organic net sales growth rates for our consolidated net sales and segment net sales. We believe that organic net sales growth rates provide useful information to investors because they provide transparency to underlying performance in our net sales by excluding the effect that foreign currency exchange rate fluctuations, acquisitions, and divestitures, as applicable, have on year-to-year comparability. A reconciliation of these measures from reported net sales growth rates, the relevant GAAP measures, are included in the tables set forth below.</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Percentage changes in sales and adjusted operating income expressed on a constant currency basis are presented excluding the impact of foreign currency exchange. To present this information for historical periods, current period results for entities reporting in currencies other than the U.S. dollar are translated into U.S. dollars at the average exchange rates in effect during the corresponding period of the comparative year, rather than at the actual average exchange rates in effect during the current fiscal year. As a result, the foreign currency impact is equal to the current year results in local currencies multiplied by the change in the average foreign currency exchange rate between the current fiscal period and the corresponding period of the comparative year.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Rates of constant currency and organic growth (decline) follow: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3"/>
        <w:gridCol w:w="503"/>
        <w:gridCol w:w="512"/>
        <w:gridCol w:w="403"/>
        <w:gridCol w:w="337"/>
        <w:gridCol w:w="846"/>
        <w:gridCol w:w="422"/>
        <w:gridCol w:w="381"/>
        <w:gridCol w:w="957"/>
        <w:gridCol w:w="520"/>
        <w:gridCol w:w="454"/>
        <w:gridCol w:w="1138"/>
        <w:gridCol w:w="334"/>
        <w:gridCol w:w="268"/>
        <w:gridCol w:w="673"/>
        <w:gridCol w:w="402"/>
        <w:gridCol w:w="375"/>
        <w:gridCol w:w="1107"/>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August 31, 2026</w:t>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as reported</w:t>
            </w:r>
          </w:p>
        </w:tc>
        <w:tc>
          <w:tcPr>
            <w:tcW w:w="1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foreign currency exchange</w:t>
            </w:r>
          </w:p>
        </w:tc>
        <w:tc>
          <w:tcPr>
            <w:tcW w:w="2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constant currency basis</w:t>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acquisition</w:t>
            </w:r>
          </w:p>
        </w:tc>
        <w:tc>
          <w:tcPr>
            <w:tcW w:w="1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an organic basis</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segment:</w:t>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Flavor Solutions segment:</w:t>
            </w:r>
          </w:p>
        </w:tc>
        <w:tc>
          <w:tcPr>
            <w:tcW w:w="1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6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Flavor Solutions</w:t>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7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3"/>
        <w:gridCol w:w="504"/>
        <w:gridCol w:w="513"/>
        <w:gridCol w:w="404"/>
        <w:gridCol w:w="338"/>
        <w:gridCol w:w="847"/>
        <w:gridCol w:w="415"/>
        <w:gridCol w:w="382"/>
        <w:gridCol w:w="958"/>
        <w:gridCol w:w="521"/>
        <w:gridCol w:w="455"/>
        <w:gridCol w:w="1140"/>
        <w:gridCol w:w="334"/>
        <w:gridCol w:w="268"/>
        <w:gridCol w:w="674"/>
        <w:gridCol w:w="395"/>
        <w:gridCol w:w="375"/>
        <w:gridCol w:w="1109"/>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August 31, 2026</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as reported</w:t>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foreign currency exchange</w:t>
            </w:r>
          </w:p>
        </w:tc>
        <w:tc>
          <w:tcPr>
            <w:tcW w:w="2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constant currency basis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acquisition</w:t>
            </w:r>
          </w:p>
        </w:tc>
        <w:tc>
          <w:tcPr>
            <w:tcW w:w="1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an organic basis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segment:</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8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Flavor Solutions segment:</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Flavor Solutions</w:t>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74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53"/>
        <w:gridCol w:w="838"/>
        <w:gridCol w:w="844"/>
        <w:gridCol w:w="469"/>
        <w:gridCol w:w="456"/>
        <w:gridCol w:w="1131"/>
        <w:gridCol w:w="553"/>
        <w:gridCol w:w="553"/>
        <w:gridCol w:w="1362"/>
        <w:gridCol w:w="632"/>
        <w:gridCol w:w="620"/>
        <w:gridCol w:w="1794"/>
      </w:tblGrid>
      <w:tr>
        <w:trPr/>
        <w:tc>
          <w:tcPr>
            <w:tcW w:w="9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August 31, 2026</w:t>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as reported</w:t>
            </w:r>
          </w:p>
        </w:tc>
        <w:tc>
          <w:tcPr>
            <w:tcW w:w="2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foreign currency exchange</w:t>
            </w:r>
          </w:p>
        </w:tc>
        <w:tc>
          <w:tcPr>
            <w:tcW w:w="3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constant currency basis</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segment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Flavor Solutions segment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operating income</w:t>
            </w:r>
          </w:p>
        </w:tc>
        <w:tc>
          <w:tcPr>
            <w:tcW w:w="9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53"/>
        <w:gridCol w:w="838"/>
        <w:gridCol w:w="844"/>
        <w:gridCol w:w="469"/>
        <w:gridCol w:w="456"/>
        <w:gridCol w:w="1131"/>
        <w:gridCol w:w="554"/>
        <w:gridCol w:w="554"/>
        <w:gridCol w:w="1361"/>
        <w:gridCol w:w="632"/>
        <w:gridCol w:w="619"/>
        <w:gridCol w:w="1794"/>
      </w:tblGrid>
      <w:tr>
        <w:trPr/>
        <w:tc>
          <w:tcPr>
            <w:tcW w:w="9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August 31, 2026</w:t>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as reported</w:t>
            </w:r>
          </w:p>
        </w:tc>
        <w:tc>
          <w:tcPr>
            <w:tcW w:w="2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Impact of foreign currency exchange</w:t>
            </w:r>
          </w:p>
        </w:tc>
        <w:tc>
          <w:tcPr>
            <w:tcW w:w="3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Percentage change on constant currency basis</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income:</w:t>
            </w:r>
          </w:p>
        </w:tc>
        <w:tc>
          <w:tcPr>
            <w:tcW w:w="2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segment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Flavor Solutions segment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operating income</w:t>
            </w:r>
          </w:p>
        </w:tc>
        <w:tc>
          <w:tcPr>
            <w:tcW w:w="9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180" w:after="283"/>
        <w:jc w:val="left"/>
        <w:rPr/>
      </w:pPr>
      <w:r>
        <w:rPr/>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To present the percentage change in projected 2026 net sales, adjusted operating income, and adjusted earnings per share (diluted) on a constant currency basis, the projected 2026 results for entities reporting in currencies other than the U.S. dollar are translated into U.S. dollars at the actual exchange rates in effect for each month during 2025. These 2026 figures are then compared to our actual results for 2025. This determines what 2026 results would be if currency exchange rates had not changed from 2025.</w: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206"/>
        <w:gridCol w:w="1935"/>
        <w:gridCol w:w="1950"/>
        <w:gridCol w:w="436"/>
        <w:gridCol w:w="436"/>
        <w:gridCol w:w="436"/>
        <w:gridCol w:w="436"/>
        <w:gridCol w:w="436"/>
        <w:gridCol w:w="436"/>
        <w:gridCol w:w="436"/>
        <w:gridCol w:w="436"/>
        <w:gridCol w:w="626"/>
      </w:tblGrid>
      <w:tr>
        <w:trPr/>
        <w:tc>
          <w:tcPr>
            <w:tcW w:w="220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Projections for the Year Ending November 30, 2026</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net sales</w:t>
            </w:r>
          </w:p>
        </w:tc>
        <w:tc>
          <w:tcPr>
            <w:tcW w:w="41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 to 17%</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favorable foreign currency exchange</w:t>
            </w:r>
          </w:p>
        </w:tc>
        <w:tc>
          <w:tcPr>
            <w:tcW w:w="411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net sales in constant currency</w:t>
            </w:r>
          </w:p>
        </w:tc>
        <w:tc>
          <w:tcPr>
            <w:tcW w:w="4114" w:type="dxa"/>
            <w:gridSpan w:val="9"/>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 to 16%</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w:t>
            </w:r>
          </w:p>
        </w:tc>
        <w:tc>
          <w:tcPr>
            <w:tcW w:w="4114" w:type="dxa"/>
            <w:gridSpan w:val="9"/>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 to 13%</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organic net sales</w:t>
            </w:r>
          </w:p>
        </w:tc>
        <w:tc>
          <w:tcPr>
            <w:tcW w:w="41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to 3%</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adjusted operating income</w:t>
            </w:r>
          </w:p>
        </w:tc>
        <w:tc>
          <w:tcPr>
            <w:tcW w:w="411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 to 20%</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favorable foreign currency exchange</w:t>
            </w:r>
          </w:p>
        </w:tc>
        <w:tc>
          <w:tcPr>
            <w:tcW w:w="411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adjusted operating income in constant currency</w:t>
            </w:r>
          </w:p>
        </w:tc>
        <w:tc>
          <w:tcPr>
            <w:tcW w:w="4114"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to 19%</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adjusted earnings per share - diluted</w:t>
            </w:r>
          </w:p>
        </w:tc>
        <w:tc>
          <w:tcPr>
            <w:tcW w:w="411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to 5%</w:t>
            </w:r>
          </w:p>
        </w:tc>
      </w:tr>
      <w:tr>
        <w:trPr/>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favorable foreign currency exchange</w:t>
            </w:r>
          </w:p>
        </w:tc>
        <w:tc>
          <w:tcPr>
            <w:tcW w:w="411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change in adjusted earnings per share in constant currency - diluted</w:t>
            </w:r>
          </w:p>
        </w:tc>
        <w:tc>
          <w:tcPr>
            <w:tcW w:w="4114" w:type="dxa"/>
            <w:gridSpan w:val="9"/>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to 4%</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LIQUIDITY AND FINANCIAL CONDITION</w:t>
      </w:r>
    </w:p>
    <w:tbl>
      <w:tblPr>
        <w:tblW w:w="5773" w:type="dxa"/>
        <w:jc w:val="left"/>
        <w:tblInd w:w="0" w:type="dxa"/>
        <w:tblLayout w:type="fixed"/>
        <w:tblCellMar>
          <w:top w:w="28" w:type="dxa"/>
          <w:left w:w="28" w:type="dxa"/>
          <w:bottom w:w="28" w:type="dxa"/>
          <w:right w:w="28" w:type="dxa"/>
        </w:tblCellMar>
      </w:tblPr>
      <w:tblGrid>
        <w:gridCol w:w="1254"/>
        <w:gridCol w:w="1104"/>
        <w:gridCol w:w="1107"/>
        <w:gridCol w:w="217"/>
        <w:gridCol w:w="634"/>
        <w:gridCol w:w="112"/>
        <w:gridCol w:w="112"/>
        <w:gridCol w:w="112"/>
        <w:gridCol w:w="112"/>
        <w:gridCol w:w="217"/>
        <w:gridCol w:w="634"/>
        <w:gridCol w:w="158"/>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primary objective of our financing strategy is to maintain a prudent capital structure that provides us with flexibility to pursue our growth objectives. We use a combination of equity and short- and long-term debt. We use short-term debt, comprised primarily of commercial paper, principally to finance ongoing operations, including our requirements for working capital (accounts receivable, prepaid expenses and other current assets, and inventories, less accounts payable, accrued payroll, and other accrued liabilities). We are committed to maintaining investment grade credit ratings.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Our cash flow from operations enables us to fund operating projects and investments that are designed to meet our growth objectives, service our debt, fund or increase our quarterly dividends, fund capital projects and other investments, and make share repurchases when appropriate. Due to the cyclical nature of a portion of our business, our cash flow from operations has historically been the strongest during the fourth quarter of our fiscal year. Due to the timing of the interest payments on our long-term debt, interest payments are higher in the first and third quarters of our fiscal year.</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pending merger with Unilever Foods is likely to result in a material increase in our debt and liquidity needs that will impact our capital needs prior to and after the closing of such transaction. Under the terms of the Merger Agreement, we will issue voting and non-voting securities to Unilever and its shareholders and make a one-time cash payment of $15.7 billion to Unilever, subject to certain adjustments, which we intend to fund through the Bridge Facility, the Term Loan Facility, and, to the extent available, the Permanent Financing. See Note 4 of the notes to the condensed consolidated financial statements for further discussion. We believe that our sources of liquidity, which include existing cash balances, cash flows from operations, existing credit facilities, our commercial paper program, access to capital markets and the committed debt financing related to the pending transaction with Unilever Foods, will provide sufficient liquidity to meet our debt obligations, including any repayment of debt or refinancing of debt, working capital needs, planned capital expenditures, the one-time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payment to Unilever in connection with the pending transaction, the payment associated with an acquisition and payment of anticipated quarterly dividends for at least the next twelve months.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consolidated cash flow statement, the changes in operating assets and liabilities are presented excluding the translation effects of changes in foreign currency exchange rates as these do not reflect actual cash flows. In addition, in the cash flow statement, the changes in operating assets and liabilities are presented excluding the effect of acquired or disposed operating assets and liabilities, as the cash flow associated with acquisition or disposition of businesses is presented as an investing activity. Accordingly, the amounts in the cash flow statement do not agree with changes in the operating assets and liabilities that are presented in the balance sheet.</w:t>
      </w:r>
    </w:p>
    <w:p>
      <w:pPr>
        <w:pStyle w:val="TextBody"/>
        <w:bidi w:val="0"/>
        <w:spacing w:lineRule="auto" w:line="276" w:before="180" w:after="283"/>
        <w:jc w:val="left"/>
        <w:rPr/>
      </w:pPr>
      <w:r>
        <w:rPr>
          <w:rFonts w:ascii="Times New Roman;serif" w:hAnsi="Times New Roman;serif"/>
          <w:b/>
          <w:color w:val="000000"/>
          <w:sz w:val="20"/>
        </w:rPr>
        <w:t xml:space="preserve">Operating Cash Flow </w:t>
      </w:r>
      <w:r>
        <w:rPr>
          <w:color w:val="000000"/>
        </w:rPr>
        <w:t xml:space="preserve">— </w:t>
      </w:r>
      <w:r>
        <w:rPr>
          <w:rFonts w:ascii="Times New Roman;serif" w:hAnsi="Times New Roman;serif"/>
          <w:b w:val="false"/>
          <w:color w:val="000000"/>
          <w:sz w:val="20"/>
        </w:rPr>
        <w:t>Net cash provided by operating activities of $598.8 million for the nine months ended August 31, 2026 increased $178.6 million as compared to $420.2 million for the corresponding 2025 period. The increase in operating cash flow was primarily driven by lower cash used for working capital, including cash inflows associated with tariff refunds.</w:t>
      </w:r>
    </w:p>
    <w:p>
      <w:pPr>
        <w:pStyle w:val="TextBody"/>
        <w:bidi w:val="0"/>
        <w:spacing w:lineRule="auto" w:line="276" w:before="180" w:after="283"/>
        <w:jc w:val="left"/>
        <w:rPr/>
      </w:pPr>
      <w:r>
        <w:rPr>
          <w:rFonts w:ascii="Times New Roman;serif" w:hAnsi="Times New Roman;serif"/>
          <w:b/>
          <w:color w:val="000000"/>
          <w:sz w:val="20"/>
        </w:rPr>
        <w:t xml:space="preserve">Investing Cash Flow </w:t>
      </w:r>
      <w:r>
        <w:rPr>
          <w:color w:val="000000"/>
        </w:rPr>
        <w:t xml:space="preserve">— </w:t>
      </w:r>
      <w:r>
        <w:rPr>
          <w:rFonts w:ascii="Times New Roman;serif" w:hAnsi="Times New Roman;serif"/>
          <w:b w:val="false"/>
          <w:color w:val="000000"/>
          <w:sz w:val="20"/>
        </w:rPr>
        <w:t>Cash used in investing activities of $861.1 million for the nine months ended August 31, 2026 increased by $688.9 million as compared to $172.2 million for the corresponding period in 2025. Our primary investing cash flows included cash used in the acquisition of a business and cash used for capital expenditures. Capital expenditures, including expenditures for capitalized software, decreased from the 2025 level of $138.1 million to $131.2 million. Cash used for the acquisition of a business, net of cash acquired for the nine months ended August 31, 2026 was $729.9 million as compared to $34.1 million for the nine months ended August 31, 2025. We expect 2026 capital expenditures to approximate $250 million.</w:t>
      </w:r>
    </w:p>
    <w:p>
      <w:pPr>
        <w:pStyle w:val="TextBody"/>
        <w:bidi w:val="0"/>
        <w:spacing w:lineRule="auto" w:line="276" w:before="180" w:after="283"/>
        <w:jc w:val="left"/>
        <w:rPr/>
      </w:pPr>
      <w:r>
        <w:rPr>
          <w:rFonts w:ascii="Times New Roman;serif" w:hAnsi="Times New Roman;serif"/>
          <w:b/>
          <w:color w:val="000000"/>
          <w:sz w:val="20"/>
        </w:rPr>
        <w:t xml:space="preserve">Financing Cash Flow </w:t>
      </w:r>
      <w:r>
        <w:rPr>
          <w:color w:val="000000"/>
        </w:rPr>
        <w:t xml:space="preserve">— </w:t>
      </w:r>
      <w:r>
        <w:rPr>
          <w:rFonts w:ascii="Times New Roman;serif" w:hAnsi="Times New Roman;serif"/>
          <w:b w:val="false"/>
          <w:color w:val="000000"/>
          <w:sz w:val="20"/>
        </w:rPr>
        <w:t xml:space="preserve">Financing activities provided cash of $490.3 million for the nine months ended August 31, 2026 as compared to a use of cash of $378.3 million for the corresponding period in 2025. The year-over-year change was primarily driven by fluctuations in net borrowings, share repurchase activity, and dividend payments, as further described below. </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our net borrowing activities:</w:t>
      </w:r>
    </w:p>
    <w:tbl>
      <w:tblPr>
        <w:tblW w:w="7480" w:type="dxa"/>
        <w:jc w:val="left"/>
        <w:tblInd w:w="0" w:type="dxa"/>
        <w:tblLayout w:type="fixed"/>
        <w:tblCellMar>
          <w:top w:w="28" w:type="dxa"/>
          <w:left w:w="28" w:type="dxa"/>
          <w:bottom w:w="28" w:type="dxa"/>
          <w:right w:w="28" w:type="dxa"/>
        </w:tblCellMar>
      </w:tblPr>
      <w:tblGrid>
        <w:gridCol w:w="1874"/>
        <w:gridCol w:w="1648"/>
        <w:gridCol w:w="1653"/>
        <w:gridCol w:w="227"/>
        <w:gridCol w:w="665"/>
        <w:gridCol w:w="117"/>
        <w:gridCol w:w="117"/>
        <w:gridCol w:w="117"/>
        <w:gridCol w:w="117"/>
        <w:gridCol w:w="227"/>
        <w:gridCol w:w="552"/>
        <w:gridCol w:w="166"/>
      </w:tblGrid>
      <w:tr>
        <w:trPr/>
        <w:tc>
          <w:tcPr>
            <w:tcW w:w="187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short-term borrowings (repayments), net</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fees paid</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borrowings (net of debt issuance costs of $1.1)</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borrowing activities</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2026, the increase in short-term borrowings was principally to fund investing cash requirements. During the nine months ended August 31, 2026, we repaid $506.7 million of long-term debt, including the $500 million, 0.90% notes that matured in February 2026. During the three and nine months ended August 31, 2026, we paid $24 million and $75 million, respectively, of aggregate debt financing fees related to the pending merger with Unilever Foods which were deferred in Other assets and are being amortized to Interest expense. During the nine months ended August 31, 2026, we issued $500 million of 4.15% notes due 2029, with net proceeds received of $497.1 million.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the activity in our share repurchase program:</w:t>
      </w:r>
    </w:p>
    <w:tbl>
      <w:tblPr>
        <w:tblW w:w="7478" w:type="dxa"/>
        <w:jc w:val="left"/>
        <w:tblInd w:w="0" w:type="dxa"/>
        <w:tblLayout w:type="fixed"/>
        <w:tblCellMar>
          <w:top w:w="28" w:type="dxa"/>
          <w:left w:w="28" w:type="dxa"/>
          <w:bottom w:w="28" w:type="dxa"/>
          <w:right w:w="28" w:type="dxa"/>
        </w:tblCellMar>
      </w:tblPr>
      <w:tblGrid>
        <w:gridCol w:w="1874"/>
        <w:gridCol w:w="1648"/>
        <w:gridCol w:w="1652"/>
        <w:gridCol w:w="239"/>
        <w:gridCol w:w="580"/>
        <w:gridCol w:w="123"/>
        <w:gridCol w:w="123"/>
        <w:gridCol w:w="123"/>
        <w:gridCol w:w="123"/>
        <w:gridCol w:w="239"/>
        <w:gridCol w:w="580"/>
        <w:gridCol w:w="174"/>
      </w:tblGrid>
      <w:tr>
        <w:trPr/>
        <w:tc>
          <w:tcPr>
            <w:tcW w:w="187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August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 repurchased (in thousands)</w:t>
            </w:r>
          </w:p>
        </w:tc>
        <w:tc>
          <w:tcPr>
            <w:tcW w:w="8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 amount (in millions)</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approximately $403 million remained of the $600 million share repurchase program that was authorized by the Board of Directors in November 2019. The timing and amount of any shares repurchased is determined by our management based on its evaluation of market conditions and other factors.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2026, we received proceeds of $23.9 million from exercised stock options as compared to $15.1 million received in the corresponding 2025 period. We repurchased $11.9 million and $13.2 million of common stock during the nine months ended August 31, 2026 and 2025, respectively, in conjunction with employee tax withholding requirements associated with our stock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Dividends paid increased to $387.0 million, or a per share quarterly dividend of $0.48, in the first nine months of 2026 from $362.2 million, or a per share quarterly dividend of $0.45, of dividends paid in the same period last year. The timing and amount of any future dividends is determined by our Board of Directors. We paid dividends to our joint venture partners of $20.8 million in the first nine months of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Most of our cash is in our subsidiaries outside of the U.S. We manage our worldwide cash requirements by considering available funds among the many subsidiaries through which we conduct our business and the cost effectiveness with which those funds can be accessed. Those balances are generally available without legal restrictions to fund ordinary business operations, capital projects and any possible future acquisitions.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At August 31, 2026 and 2025, we temporarily used $510.9 million and $652.2 million, respectively, of cash from our non-U.S. subsidiaries to pay down short-term debt in the U.S. During a quarter, our short-term borrowings vary, but are typically lower at the end of a quarter. The average short-term borrowings outstanding for the nine months ended August 31, 2026 and 2025 were $1,599.5 million and $1,099.4 million, respectively. Total average debt outstanding for the nine months ended August 31, 2026 and 2025 was $5,177.3 million and $4,899.4 million, respectively.</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reported values of our assets and liabilities are significantly affected by fluctuations in foreign exchange rates between periods. At August 31, 2026, the exchange rate for the British pound sterling, euro, Canadian dollar, Mexican peso, Chinese renminbi, and Australian dollar were higher than the U.S. dollar at November 30, 2025 while the Polish zloty was lower than the U.S. dollar at November 30, 2025.</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and Capital Markets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are our primary source of liquidity for funding growth, dividends, capital expenditures and share repurchases. We also rely on our revolving credit facilities, or borrowings backed by these facilities, to fund working capital needs and other general corporate requirements.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we issued $500 million aggregate principal amount of 4.15% unsecured senior notes due 2029. Interest is payable semiannually in February and August of each year, beginning in August 2026. The net proceeds received from the issuances of these notes of $497.1 million were used to repay a portion of the outstanding $500 million 0.90% notes due in February 2026.</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the Bridge Commitment Letter in connection with the financing of the pending transaction with Unilever Foods, pursuant to which the Commitment Parties committed to provide, subject to the terms and conditions set forth therein, the Bridge Facility in an aggregate principal amount of up to $15.7 billion to fund the cash consideration and related fees and expenses at closing of the pending transaction. Effective April 28, 2026, we terminated $2.0 billion of the commitments under the Bridge Facility and entered into a term loan agreement as described below, subject to customary closing conditions for similar facilities.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April 2026, we entered into the Term Loan Agreement by and among us, the lenders party thereto and Citibank, N.A., as the Administrative Agent. The Term Loan Agreement provides us with the Term Loan Facility at the Closing Date, subject to satisfaction of customary closing conditions for similar facilities, for the purpose of financing a portion of the cash consideration to be paid in the pending transaction and paying related fees and expenses in connection therewith. The Term Loan Facility may be funded on the Closing Date or, subject to compliance with certain conditions, on the preceding business day, and matures three years after the Closing Date. Under the Term Loan Agreement, borrowings will bear interest on the principal amount outstanding at a floating rate based on, at our election, (i) Term SOFR (as defined in the Term Loan Agreement) plus an applicable margin based on the credit ratings of our senior unsecured long term debt ranging from 0.75% to 1.50% or (ii) Base Rate (as defined in the Term Loan Agreement) plus an applicable margin based on the credit ratings of our senior unsecured long term debt ranging from 0.00% to 0.50%. The Term Loan Agreement contains a financial covenant requiring us to maintain a minimum interest coverage ratio as well as other non-financial covenants and certain customary events of default.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committed revolving credit facilities include a five-year $2.0 billion revolving credit facility expiring in May 2030 and a 364-day $500 million revolving credit facility expiring in January 2027. Pricing for both facilities, on a fully drawn basis, is currently Term SOFR plus 1.125% and is based on a credit rating grid, with a maximum fully drawn rate of Term SOFR plus 1.50%. The provisions of our revolving credit facilities restrict subsidiary indebtedness and require us to maintain a minimum interest coverage ratio. We do not expect that this covenant would limit our access to our revolving credit facilities for the foreseeable future.</w:t>
      </w:r>
    </w:p>
    <w:p>
      <w:pPr>
        <w:pStyle w:val="TextBody"/>
        <w:bidi w:val="0"/>
        <w:spacing w:lineRule="auto" w:line="276"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generally use our revolving credit facilities to support our issuance of commercial paper. If the commercial paper market is not available or viable, we could borrow directly under our revolving credit facility. This facility is made available by a syndicate of banks, with various commitments per bank. If any of the banks in this syndicate are unable to perform on their commitments, our liquidity could be impacted, which could reduce our ability to grow through funding of our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periodically review our banking and financing relationships, considering the stability of the institutions and other aspects of the relationships. In addition, we engage in regular communication with all banks participating in our credit facility. During these communications, none of the banks have indicated that they may be unable to perform on their commitments. Based on these communications and our monitoring activities, we believe our banks will perform on their commitments.</w:t>
      </w:r>
    </w:p>
    <w:p>
      <w:pPr>
        <w:pStyle w:val="TextBody"/>
        <w:bidi w:val="0"/>
        <w:spacing w:lineRule="auto" w:line="276" w:before="18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Material Cash Requirements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 Our primary obligations include principal and interest payments on our outstanding short-term borrowings and long-term debt. Our other cash requirements include raw material purchases, lease payments, income taxes, anticipated quarterly dividends, and pension and postretirement benefits, as well as other contractual obligations. In addition, in connection with the pending transaction with Unilever Foods, we will be obligated to make a one-time cash payment of $15.7 billion to Unilever, subject to certain adjustments.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These obligations impact our liquidity and capital resource needs. To meet those cash requirements, we intend to use our existing cash, cash equivalents and internally generated funds, to borrow under our existing credit facilities or under other short-term borrowing facilities</w:t>
      </w:r>
      <w:r>
        <w:rPr>
          <w:rFonts w:ascii="Times New Roman;serif" w:hAnsi="Times New Roman;serif"/>
          <w:b w:val="false"/>
          <w:color w:val="000000"/>
          <w:sz w:val="20"/>
        </w:rPr>
        <w:t>, to utilize the committed debt financing we have obtained in connection with the pending transaction,</w:t>
      </w:r>
      <w:r>
        <w:rPr>
          <w:color w:val="000000"/>
          <w:shd w:fill="FFFFFF" w:val="clear"/>
        </w:rPr>
        <w:t xml:space="preserve"> </w:t>
      </w:r>
      <w:r>
        <w:rPr>
          <w:rFonts w:ascii="Times New Roman;serif" w:hAnsi="Times New Roman;serif"/>
          <w:b w:val="false"/>
          <w:color w:val="000000"/>
          <w:sz w:val="20"/>
          <w:shd w:fill="FFFFFF" w:val="clear"/>
        </w:rPr>
        <w:t>and depending on market conditions and upon the significance of the cost of a particular debt maturity to our then-available sources of funds, to obtain additional short- and long-term financing. We believe that the cash provided from these sources will be adequate to meet our future cash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RECENTLY ISSUED ACCOUNTING PRONOUNCEMENTS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New accounting pronouncements are issued periodically that affect our current and future operations. See our Annual Report on Form 10-K for the fiscal year ended November 30, 2025 and Note 1 of notes to the accompanying condensed consolidated financial statements for further details of these impacts.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CRITICAL ACCOUNTING ESTIMATES AND ASSUMPTIONS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In preparing the financial statements, we are required to make estimates and assumptions that have an impact on the assets, liabilities, revenue and expenses reported. These estimates can also affect supplemental information disclosed by us, including information about contingencies, risk and financial condition. We believe, given current facts and circumstances, our estimates and assumptions are reasonable, adhere to GAAP and are consistently applied. Inherent in the nature of an estimate or assumption is the fact that actual results may differ from estimates, and estimates may vary as new facts and circumstances arise. In preparing the financial statements, we make routine estimates and judgments in determining the net realizable value of accounts receivable, inventory, fixed assets, and prepaid allowances. Our most critical accounting estimates and assumptions are included in our Annual Report on Form 10-K for the fiscal year ended November 30, 2025.</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critical accounting estimates and assumptions included in our Annual Report on Form 10-K for the fiscal year ended November 30, 2025 except as follows.</w:t>
      </w:r>
    </w:p>
    <w:p>
      <w:pPr>
        <w:pStyle w:val="TextBody"/>
        <w:bidi w:val="0"/>
        <w:spacing w:lineRule="auto" w:line="276" w:before="180" w:after="283"/>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We use the acquisition method in accounting for acquired businesses. Under the acquisition method, our financial statements reflect the operations of an acquired business starting from the closing of the acquisition. The assets acquired and liabilities assumed are recorded at their respective estimated fair values at the date of the acquisition. The fair value of any noncontrolling interest is estimated based on the implied value derived from the consideration transferred adjusted for any control premium. Any excess of the purchase consideration over the estimated fair values of the identifiable net assets acquired is recorded as goodwill. Significant judgment is often required in estimating the fair value of assets acquired, particularly intangible assets, and noncontrolling interest. We generally obtain the assistance of a third-party valuation specialist in estimating fair values of tangible and intangible assets as well as estimating the fair value of any noncontrolling interest.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Determining the useful lives of intangible assets also requires judgment. Certain intangibles are expected to have indefinite lives, including brand intangibles based on their history and our plans to continue to support and build the acquired brands, and reacquired rights based on their ability to contribute cash flows for the foreseeable future without substantive limiting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Other acquired intangible assets such as customer relationships are expected to have determinable useful lives. Our estimates of the useful lives of definite-lived intangible assets are primarily based upon historical experience, the competitive and macroeconomic environment, and our operating plans. The costs of definite-lived intangibles are amortized to expense over their estimated life.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FORWARD-LOOKING INFORMATION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Certain statements contained in this report, including statements concerning expected performance such as those relating to net sales, gross margin, earnings, cost savings, special charges, including transaction and integration expenses, mergers, acquisitions, divestitures, brand marketing support, volume and product mix, income tax expense, tariff-related matters, and the impact of foreign currency rates are “forward-looking statements” within the meaning of Section 21E of the Securities Exchange Act of 1934, as amended. These statements may be identified by the use of words such as “may,” “will,” “expect,” “should,” “anticipate,” “intend,” “believe,” “plan,” and similar expressions. These statements may relate to: the anticipated benefits and timing of, and our plans, strategies and objectives relating to, the pending transaction with Unilever Foods, including: the parties’ ability to meet expectations regarding the timing, completion and accounting and tax treatments of the pending transaction, including changes in relevant tax and other applicable laws; the possibility of failure to obtain necessary regulatory approvals, anticipated tax treatment or any required financing, or to satisfy any of the other conditions to the pending transaction; the possibility that unforeseen liabilities, future capital expenditures, revenues, expenses, earnings, synergies, economic performance, indebtedness, financial condition, losses, future prospects, and business and management strategies could impact the value or expected benefit of, timing or pursuit of the pending transaction; the risks and costs of the pursuit and/or implementation of the anticipated separation of Unilever Foods' business prior to closing, including the anticipated timing required to complete the separation, any adjustment to the terms of the separation and any changes to the configuration of the businesses included in the separation if implemented; the financing of the pending transaction, including with respect to the Bridge Facility, the Term Loan Facility, and any other subsequent financing; the effectiveness of a registration statement on Form S-4 and our receipt of shareholder approval for the pending transaction and certain related matters; the anticipated ownership percentages of McCormick shareholders, Unilever shareholders and Unilever following the closing of the pending transaction; the effect of the announcement or pendency of the pending transaction on Unilever Foods’ or our business relationships, competition, business, financial condition and operating results; our ability to successfully integrate Unilever Foods’ operations and the implementation of and compliance with plans, agreements, forecasts and other expectations with respect to Unilever Foods’ business or the combined business after the closing of the pending transaction; our ability to manage additional debt and successfully de-lever following the transaction;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our results of operations, including our sales volume and mix as well as gross margins; the expected impact of the inflationary cost environment on our business; the anticipated effects of factors affecting our supply chain, including the availability and prices of commodities and other supply chain resources such as raw materials, packaging, labor, and transportation; the potential impact of trade policies, including tariffs; the potential impact of legal challenges to U.S. tariffs, tariff refunds, and the timing and anticipated benefits thereof; the expected impact of productivity improvements, including those associated with our CCI program and the Global Business Services operating model initiative; the ability to identify, attract, hire, retain, and develop qualified personnel and the next generation of leaders; the impact of ongoing or future geopolitical conflicts, including those between Russia and Ukraine and the war/conflict in the Middle East, including the potential for broader economic disruption, in particular related to fuel and freight prices; expected working capital improvements; the anticipated timing and costs of implementing our business transformation initiative, which includes the implementation of a global enterprise resource planning (ERP)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our common stock under the existing repurchase authorization.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forward-looking statements are based on management’s current views and assumptions and involve risks and uncertainties that could significantly affect expected results. Actual results may be materially affected by factors that are beyond McCormick's and Unilever's control such as: the Company's ability to drive revenue growth; the Company's ability to increase pricing to offset, or partially offset, inflationary pressures on the cost of our products; damage to the Company's reputation or brand name; loss of brand relevance; increased private label use; the Company's ability to offset cost pressures or business impacts related to trade policies such as tariffs, including relating to tariff refunds; the Company's ability to drive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productivity improvements, including those related to our CCI program and other streamlining actions; product quality, labeling, or safety concerns; negative publicity about our products; actions by, and the financial condition of, competitors and customers; the longevity of mutually beneficial relationships with our large customers; the ability to identify, interpret and react to changes in consumer preference and demand; business interruptions due to natural disasters, unexpected events or public health crises; issues affecting the Company's supply chain and procurement of raw materials, including fluctuations in the cost and availability of raw and packaging materials; labor shortage, turnover and labor cost increases; the impact of changing political and geopolitical conditions, including the ongoing conflicts between Russia and Ukraine and the war/conflict in the Middle East, and the potential for broader economic disruption; government regulation, and changes in legal and regulatory requirements and enforcement practices; the lack of successful acquisition and integration of new businesses; global economic and financial conditions generally, availability of financing, interest and inflation rates, and the imposition of tariffs, quotas, trade barriers and other similar restrictions; foreign currency fluctuations; the effects of the amount of our outstanding indebtedness and related level of debt service as well as the effects that such debt service may have on the Company's ability to borrow or the cost of any such additional borrowing, our credit rating, and our ability to react to certain economic and industry conditions; impairments of indefinite-lived intangible assets; assumptions we have made regarding the investment return on retirement plan assets, and the costs associated with pension obligations; the stability of credit and capital markets; risks associated with the Company's information technology systems, including the threat of data breaches and cyber-attacks; the Company's inability to successfully implement our business transformation initiative; fundamental changes in tax laws, including interpretations and assumptions we have made, and guidance that may be issued, and volatility in our effective tax rate; climate change; sustainability matters; infringement of intellectual property rights, and those of customers; litigation, legal and administrative proceedings; the Company's inability to achieve expected and/or needed cost savings or margin improvements; negative employee relations; risks related to the pending transaction with Unilever Foods, including: direct transaction costs and substantial transition and integration-related costs associated with the pending transaction; the parties' ability to meet expectations regarding the timing, completion and accounting and tax treatments of the proposed transaction, and the occurrence of any event, change or other circumstance that could give rise to the termination of the Merger Agreement; the failure to obtain necessary regulatory approvals or any required financing, or to satisfy any of the other conditions to the proposed transaction; the possibility that unforeseen liabilities, future capital expenditures, revenues, expenses, earnings, synergies, economic performance, indebtedness, financial condition, losses, future prospects, business and management strategies could adversely impact the value or expected benefit of, timing or pursuit of the proposed transaction; the risks and costs of the pursuit and/or implementation of the anticipated separation of Unilever Foods' business prior to closing; uncertainties as to access to available financing to consummate the proposed transaction upon acceptable terms and on a timely basis or at all; the failure to obtain the effectiveness of a registration statement on Form S-4 or our receipt of shareholder approval for the transaction; the effect of the announcement or pendency of the transaction on our or Unilever Foods' business relationships, competition, business, financial condition and operating results, including risks that the transaction disrupts current plans and operations of us or Unilever Foods; our or Unilever Foods' ability to retain and hire key personnel, risks related to diverting either management team's attention from ongoing business operations, and risks associated with third-party contracts containing consent and/or other provisions that may be triggered by the proposed transaction; our ability to successfully integrate Unilever Foods' operations and the implementation of and compliance with plans, agreements, forecasts and other expectations with respect to Unilever Foods' business or the combined business after the closing of the proposed transaction; our ability to manage additional debt and successfully de-lever following the proposed transaction; the outcome of any legal proceedings that may be instituted against us or Unilever Foods related to the proposed transaction; and other risks as described herein under Part II, Item 1A “Risk Factors—Risks Related to the Proposed Transaction”; and other risks described in the Company's filings with the Securities and Exchange Commission.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00"/>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76" w:before="180" w:after="283"/>
        <w:jc w:val="left"/>
        <w:rPr/>
      </w:pPr>
      <w:r>
        <w:rPr>
          <w:rFonts w:ascii="Times New Roman;serif" w:hAnsi="Times New Roman;serif"/>
          <w:b w:val="false"/>
          <w:color w:val="000000"/>
          <w:sz w:val="20"/>
        </w:rPr>
        <w:t>For information regarding our exposure to certain market risks, see “</w:t>
      </w:r>
      <w:hyperlink w:anchor="idf69e08d968d4a39af6b5b2caff334c2_106">
        <w:r>
          <w:rPr>
            <w:rStyle w:val="InternetLink"/>
            <w:rFonts w:ascii="Times New Roman;serif" w:hAnsi="Times New Roman;serif"/>
            <w:b w:val="false"/>
            <w:strike w:val="false"/>
            <w:dstrike w:val="false"/>
            <w:color w:val="000000"/>
            <w:sz w:val="20"/>
            <w:u w:val="none"/>
            <w:effect w:val="none"/>
          </w:rPr>
          <w:t>Market Risk Sensitivity</w:t>
        </w:r>
      </w:hyperlink>
      <w:r>
        <w:rPr>
          <w:rFonts w:ascii="Times New Roman;serif" w:hAnsi="Times New Roman;serif"/>
          <w:b w:val="false"/>
          <w:color w:val="000000"/>
          <w:sz w:val="20"/>
        </w:rPr>
        <w:t>” in the Management’s Discussion and Analysis of Financial Condition and Results of Operations above, Note 4 of notes to our accompanying condensed consolidated financial statements, and Item 7A, Quantitative and Qualitative Disclosures About Market Risk, in our Annual Report on Form 10-K for the year ended November 30, 2025. Except as described in Management’s Discussion and Analysis of Financial Condition and Results of Operations, Market Risk Sensitivity, and Note 4 of notes to our accompanying condensed consolidated financial statements, there have been no significant changes in our financial instrument portfolio or market risk exposures since our November 30, 2025 fiscal year end.</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76" w:before="180" w:after="100"/>
        <w:ind w:left="0" w:right="0" w:hanging="144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76" w:before="180" w:after="283"/>
        <w:jc w:val="left"/>
        <w:rPr/>
      </w:pPr>
      <w:r>
        <w:rPr>
          <w:rFonts w:ascii="Times New Roman;serif" w:hAnsi="Times New Roman;serif"/>
          <w:b w:val="false"/>
          <w:i/>
          <w:color w:val="000000"/>
          <w:sz w:val="20"/>
          <w:u w:val="single"/>
        </w:rPr>
        <w:t>Evaluation of Disclosure Controls and Procedure</w:t>
      </w:r>
      <w:r>
        <w:rPr>
          <w:rFonts w:ascii="Times New Roman;serif" w:hAnsi="Times New Roman;serif"/>
          <w:b w:val="false"/>
          <w:color w:val="000000"/>
          <w:sz w:val="20"/>
          <w:u w:val="single"/>
        </w:rPr>
        <w:t>s:</w:t>
      </w:r>
      <w:r>
        <w:rPr>
          <w:color w:val="000000"/>
        </w:rPr>
        <w:t xml:space="preserve"> </w:t>
      </w: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 13a-15(e) of the Securities Exchange Act of 1934, as of the end of the period covered by this report. Based on that evaluation, our Chief Executive Officer and Chief Financial Officer concluded that, as of the end of the period covered by this report, our disclosure controls and procedures were effective.</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that occurred during our latest fiscal quarter that materially affected, or is reasonably likely to materially affect, our internal control over financial reporting.</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There are no material pending legal proceedings in which we or our subsidiaries is a party or in which any of our or their property is the subject.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1.ARISK FACTORS </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disclosed in Part I, Item 1A to our Annual Report on Form 10-K for the fiscal year ended November 30, 2025, except as follows.</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Risks Related to Our Company, Business and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conflict in the Middle East and related geopolitical instability may adversely affect our business.</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 ongoing military conflict in Iran has resulted in instability around the Middle East region, particularly a disruption in shipment of global oil and gas flows, with cascading effects on energy prices and global economic conditions. Although we do not have material operations in the region, the conflict and any further escalation, including heightened military activity, retaliatory measures, sanctions, disruptions to trade or transportation routes, cyberattacks, or other governmental or market responses, has and could continue to lead to significant disruption of global energy supplies and increases in global energy prices, heighten inflationary pressures on our input costs and supply chain (including freight costs), adversely affect global supply chains, energy markets, commodity prices, currency exchange rates, financial markets and overall macroeconomic conditions, and adversely impact customer spending patterns in markets in which we operate. While we expect the impacts of the conflict to continue to have an effect on our business, financial condition and results of operations, we are unable to predict the extent or nature of these impacts at this time.</w:t>
      </w:r>
    </w:p>
    <w:p>
      <w:pPr>
        <w:pStyle w:val="TextBody"/>
        <w:bidi w:val="0"/>
        <w:spacing w:lineRule="auto" w:line="288" w:before="180" w:after="283"/>
        <w:jc w:val="left"/>
        <w:rPr>
          <w:rFonts w:ascii="Times New Roman;serif" w:hAnsi="Times New Roman;serif"/>
          <w:b/>
          <w:i/>
          <w:color w:val="000000"/>
          <w:sz w:val="20"/>
          <w:u w:val="single"/>
        </w:rPr>
      </w:pPr>
      <w:bookmarkStart w:id="0" w:name="ibc94b65679fe46e4aa69cd136dfabe56_19605"/>
      <w:bookmarkEnd w:id="0"/>
      <w:r>
        <w:rPr>
          <w:rFonts w:ascii="Times New Roman;serif" w:hAnsi="Times New Roman;serif"/>
          <w:b/>
          <w:i/>
          <w:color w:val="000000"/>
          <w:sz w:val="20"/>
          <w:u w:val="single"/>
        </w:rPr>
        <w:t>Risks Related to the Proposed Transaction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may fail to complete the proposed transaction or may not complete it on the terms described herein or in our other filings with the SEC.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proposed transaction is subject to the satisfaction or waiver of customary closing conditions, including, among other things, approval by the requisite vote of our shareholders of the issuance of our voting and non-voting stock in connection with the transaction and an amendment to our charter, the expiration or termination of the applicable waiting period under the Hart-Scott-Rodino Antitrust Improvement Act of 1976, as amended, obtaining certain other regulatory approvals, and the effectiveness of a registration statement on Form S-4 to be filed by us. As a result, the possible timing and likelihood of completion are uncertain and, accordingly, there can be no assurance that the proposed transaction will be completed on the anticipated schedule, if at all.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Any delay in completing the proposed transaction could cause us not to realize some or all of the anticipated benefits. If the proposed transaction is not completed, we could be subject to a number of risks that may adversely affect our business and operating results, including, among other things: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stock price could decline to the extent it reflects an assumption that we will complete the proposed transaction;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incurrence of significant transaction costs that we would be unable to recoup;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under certain specified circumstances we could be required to pay Unilever a termination fee or reimburse Unilever for certain transaction expenses, as more fully described in the Merger Agreement;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subject to litigation related to any failure to complete the proposed transaction or related to any enforcement proceeding commenced against us to perform our obligations under the Merger Agreement;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publicity and other negative impacts on our relationships with customers, suppliers, and employees resulting from failure to complete the proposed transaction.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the terms of the definitive agreements governing the proposed transaction, including, but not limited to, a stockholders’ agreement, a transition services agreement, a tax matters agreement and certain intellectual property and asset purchase agreements, to be entered into by us and Unilever and its affiliates at closing, have not been finalized and remain subject to negotiation. The final terms of such agreements may differ materially from those described herein and in our other filings with the SEC. There can be no assurance that the parties will reach agreement on mutually acceptable final terms for all definitive agreements, or that the definitive agreements, once executed, will reflect the economic or legal terms currently anticipated or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proposed transaction is subject to the receipt of governmental approvals that may impose conditions that could have an adverse effect on us or, if not obtained, could prevent completion of the proposed transaction.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Completion of the proposed transaction is conditioned upon the receipt of certain governmental authorizations, consents, or other approvals, including certain antitrust approvals and any foreign investment approvals. There can be no assurance that these approvals will be obtained and that the other conditions to completing the proposed transaction will be satisfied. In addition, the governmental authorities from which these approvals are required may impose conditions on the completion of the proposed transaction or require changes to the terms of the proposed transaction or agreements to be entered into in connection with the proposed transaction, including the divestiture of certain businesses or assets. Such conditions or changes and the process of obtaining these approvals could have the effect of delaying or impeding the completion of the proposed transaction or of imposing additional costs or limitations on us following the completion of the proposed transaction, and could jeopardize or delay the completion of the proposed transaction or reduce the anticipated benefits of the proposed transaction, any of which might have an adverse effect on our business, operating results and 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pendency of the proposed transaction may adversely affect our business and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While the proposed transaction is pending, uncertainty about the effect of the proposed transaction on our employees, customers, suppliers, and other business relationships may adversely affect our business and operations. Such uncertainty may impair our ability to retain and motivate key personnel, and our current and prospective customers and suppliers may defer decisions concerning us, or seek to change or terminate existing relationships with us. In addition, the Merger Agreement restricts us from taking certain actions outside of the ordinary course of business prior to closing, including, among other things, certain acquisitions, certain amendments to material contracts, and non-ordinary course changes to compensation arrangements, in each case without the consent of Unilever. These restrictions and others more fully described in the Merger Agreement may prevent us from pursuing business opportunities or taking actions with respect to our business that we would otherwise consider advisable, and may adversely affect our ability to execute our business strategies and attain our financial and other goals. Any of these factors could adversely affect our business, operating results and financial condition.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Failure to realize the anticipated benefits from the proposed transaction within the expected timeline could adversely affect our business, operating results and financial condition.</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The anticipated benefits from the proposed transaction are based on projections and assumptions about our combined business with Unilever Foods, which may not materialize as expected or which may prove to be inaccurate. We may encounter risks, costs and expenses associated with any undisclosed or other unanticipated liabilities and use more cash and other financial resources on integration and implementation activities than we expect, including as a result of any adjustments to the terms of the proposed transaction and any changes to the configuration of the businesses included in the separation. Additional integration costs may dilute the earnings per share of the combined company, and our business, revenue, expenses, operating results, financial condition and stock price could be materially adversely affected. Our business, operating results and financial condition could be adversely affected if we are unable to realize the anticipated benefits from the proposed transaction on a timely basis, if at all, including, among other things, realizing the anticipated synergies from the proposed transaction in the anticipated amounts or within the anticipated timeframes or cost expectations, if at all. Achieving the benefits of the proposed transaction will depend, in part, on our ability to integrate the business and operations of Unilever Foods successfully and efficiently with our business. The challenges involved in this integration, which may be complex and time-consuming, include, among others, the following: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preserving customer and supplier and other important relationships of Unilever Foods and attracting new business and operational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coordinating and integrating independent research and development and commercial teams across product platforms to enhance product development while reducing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integrating financial forecasting and controls, procedures and reporting cycles;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consolidating and integrating corporate, IT, finance and administrative infrastructures, including addressing the possibility of incompatibility between the two companies’ information technology systems and heightened cybersecurity risks and vulnerabilities related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coordinating sales and marketing efforts to effectively position the combined company’s capabilities and the direction of product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integrating Unilever Foods’ operations and product lines;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obligations that we will have to counterparties of Unilever Foods that arise as a result of the change in control of Unilever Foods;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integrating employees and related HR systems and benefits, maintaining employee productivity and retaining key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harmonizing standards, controls, procedures, accounting policies, compensation structures and corporate cultures across the combined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resolving complexities associated with managing a larger, more complex, integrated business, including aligning and executing the strategy of the combined company and managing an additional international headquarters;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aligning regulatory, quality, safety and sustainability practices across the combined organization, including with respect to Unilever Foods’ international operations;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significant demands placed on management both before and after the completion of the proposed transaction, which may divert the attention of management from our normal business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As a result of the proposed transaction, we anticipate that the scope and size of our operations and business will substantially change and will result in certain incremental risks to us, including increased competition.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anticipate that the proposed transaction will substantially expand the scope and size of our business by adding substantial assets and operations to our existing business. The anticipated future growth of our business will impose significant added responsibilities on management, including, among other things, the need to identify, recruit, train and integrate additional employees. Our senior management’s attention may be diverted from the management of our business and its daily operations to the completion of the proposed transaction and the integration of the assets acquired in the proposed transaction. Further, the proposed transaction could also create uncertainty for our or Unilever Foods’ employees and customers, particularly during the post-closing integration process. It could also disrupt existing business relationships, make it more difficult to develop new business relationships, or otherwise negatively impact the way that we operate our business.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anticipate that the proposed transaction will result in increased competition. We and Unilever Foods operate in a highly competitive food industry and competition in our combined product categories is based on price, product innovation, product quality, brand recognition and loyalty, effectiveness of marketing and promotional activity, and the ability to identify and satisfy consumer preferences. Weak economic conditions, recessions, significant inflation and other factors could further intensify these competitive pressures, and may result in decreased sales volumes, price reductions and/or increased operating costs, as well as lower revenues, margins and net income for the combined company. These impacts could also result in our failure to realize expected synergies or cost savings as a result of the proposed transaction. By expanding the range of products and markets in which we operate, the proposed transaction could increase the competition we face in certain categories and regions.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completion of the proposed transaction may heighten the potential adverse effects on our business, operating results or financial condition described elsewhere in the Risk Factors in this Quarterly Report.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Our significant debt may limit our financial flexibility following the proposed transaction.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expect to incur a substantial amount of debt in connection with the proposed transaction and have entered into the Bridge Commitment Letter and the Term Loan Agreement for the purpose of financing all or a portion of the cash consideration to be paid in the proposed transaction and paying related fees and expenses in connection with the proposed transaction and the other transactions contemplated by the Merger Agreement. We anticipate replacing some or all of the Bridge Facility commitments on or prior to closing with Permanent Financing. See "Debt and Credit Facilities" in the notes to our accompanying condensed consolidated financial statements included in Part I, Item 1 of this Quarterly Report on Form 10-Q for additional information. In addition to direct transaction costs, we expect to incur substantial transition and integration-related costs following the closing of the proposed transaction, the incurrence of which, together with additional indebtedness, could adversely affect our credit rating, cash flows, operating results, and ability to return capital to shareholders.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ability to obtain and the terms of the Permanent Financing will depend on, among other factors, prevailing market conditions and other factors beyond our control. There can be no assurance that we will be able to obtain the Permanent Financing on terms acceptable to us or at all, in which case we may need to draw on the Bridge Facility to fund the cash consideration and related fees and expenses at closing of the proposed transaction. Our obligation to complete the proposed transaction is not conditioned upon the receipt of any financing.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Following the proposed transaction, the substantial indebtedness incurred in connection with the proposed transaction could have adverse effects on our business, operating results and financial condition, including, among other things: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increasing our vulnerability to changing economic, regulatory and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ability to compete and our flexibility in planning for, or reacting to, changes in our business and the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placing us at a competitive disadvantage compared to our competitors with less indebtedness;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our interest expense and potentially requiring us to dedicate a substantial portion of our cash flow from operations to payments on our debt, thereby reducing the availability of cash to fund our business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ability to borrow additional funds in the future to fund growth, acquisitions, working capital, capital expenditures or other purposes;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ability to pursue other strategic opportunities or acquisitions that might otherwise be beneficial to us and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make required payments of principal and interest on our indebtedness levels will depend on, among other factors, our financial position and performance as well as prevailing market conditions and other factors beyond our control. Our combined business may not generate cash flow from operations in the future sufficient to service our debt and make necessary capital expenditures and meet other liquidity needs. If we are unable to generate such cash flow, we may be required to adopt one or more alternatives, such as selling assets, restructuring debt or obtaining additional equity capital or debt refinancing on terms less favorable to us than our existing indebtedness. In the event we are unable to complete any of the foregoing, we may default on our debt obligations which, if not cured or waived, could accelerate the repayment obligations under all of our outstanding debt, which could have a material adverse effect on our business, operating results or financial condition. See also "Increases in interest rates or changes in our credit ratings may negatively impact us" and "Our credit ratings impact the cost and availability of future borrowings and, accordingly, our cost of capital" in Part I, Item 1A (Risk Factors) to our Annual Report on Form 10-K for the fiscal year ended November 30,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level and quality of our earnings, operations, business and management, among other things, will impact the determination of our credit ratings by credit rating agencies. A decrease in the ratings assigned to us may negatively impact our access to the debt capital markets and increase our cost of borrowing. There can be no assurance that we will be able to obtain any future required financing on acceptable terms, if at all. In addition, there can be no assurance that we will be able to maintain the current credit worthiness or prospective credit rating of the combined company. Any actual or anticipated changes, or adverse conditions in the debt capital markets, could: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adversely affect the trading price of, or market for, our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interest expense under our existing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the cost of, and adversely affect our ability to refinance, our existing debt;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affect our ability to raise additional debt.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The issuance of our common stock in connection with the proposed transaction will dilute the ownership interests of our existing shareholders. Investors holding our shares prior to the completion of proposed transaction will, in the aggregate, have a significantly reduced ownership and voting interest in the combined company after the proposed transaction and will exercise less influence over management.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proposed transaction, and subject to Unilever not electing to dispose of its interest in the combined company under the Merger Agreement, our existing shareholders are expected to own approximately 35.0% of the combined company, with current Unilever shareholders expected to own approximately 55.1% and Unilever retaining up to approximately 9.9%, assuming Unilever does not elect to distribute such interest to its shareholders pursuant to the Merger Agreement. This significant dilution in ownership will reduce the ability of holders of our voting securities to influence our management and policies after closing of the proposed transaction, and could have an adverse effect on the trading price of our securities.</w:t>
      </w:r>
    </w:p>
    <w:p>
      <w:pPr>
        <w:pStyle w:val="TextBody"/>
        <w:bidi w:val="0"/>
        <w:spacing w:before="1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August 31, 2026, we did not purchase any of our Common Stock (CS) and Common Stock Non-Voting (CSNV).</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As of August 31, 2026, approximately $403 million remained of the $600 million share repurchase authorization approved by the Board of Directors in November 2019. The timing and amount of any shares repurchased is determined by our management based on its evaluation of market conditions and other factors.</w:t>
      </w:r>
    </w:p>
    <w:p>
      <w:pPr>
        <w:pStyle w:val="TextBody"/>
        <w:bidi w:val="0"/>
        <w:spacing w:lineRule="auto" w:line="276" w:before="180" w:after="283"/>
        <w:jc w:val="left"/>
        <w:rPr/>
      </w:pPr>
      <w:r>
        <w:rPr>
          <w:rFonts w:ascii="Times New Roman;serif" w:hAnsi="Times New Roman;serif"/>
          <w:b w:val="false"/>
          <w:color w:val="000000"/>
          <w:sz w:val="20"/>
        </w:rPr>
        <w:t>In certain circumstances, we issue shares of CS in exchange for shares of CSNV, or issue shares of CSNV in exchange for shares of CS, in either case pursuant to the exemption from registration provided by Section 3(a)(9) of the Securities Act of 1933, as amended. Typically, these exchanges are made in connection with the administration of our employee benefit plans, executive compensation programs and dividend reinvestment/direct purchase plans or at the request of holders of common stock. The number of shares issued in an exchange is generally equal to the number of shares received in the exchange, although th</w:t>
      </w:r>
      <w:r>
        <w:rPr>
          <w:rFonts w:ascii="Times New Roman;serif" w:hAnsi="Times New Roman;serif"/>
          <w:b w:val="false"/>
          <w:color w:val="000000"/>
          <w:sz w:val="20"/>
          <w:shd w:fill="FFFFFF" w:val="clear"/>
        </w:rPr>
        <w:t xml:space="preserve">e number may differ slightly to the extent necessary to comply with the requirements of the Employee Retirement Income Security Act of 1974. During the third quarter of 2026, we issued </w:t>
      </w:r>
      <w:r>
        <w:rPr>
          <w:rFonts w:ascii="Times New Roman;serif" w:hAnsi="Times New Roman;serif"/>
          <w:b w:val="false"/>
          <w:color w:val="000000"/>
          <w:sz w:val="20"/>
        </w:rPr>
        <w:t>491,510</w:t>
      </w:r>
      <w:r>
        <w:rPr>
          <w:color w:val="000000"/>
          <w:shd w:fill="FFFFFF" w:val="clear"/>
        </w:rPr>
        <w:t xml:space="preserve"> </w:t>
      </w:r>
      <w:r>
        <w:rPr>
          <w:rFonts w:ascii="Times New Roman;serif" w:hAnsi="Times New Roman;serif"/>
          <w:b w:val="false"/>
          <w:color w:val="000000"/>
          <w:sz w:val="20"/>
          <w:shd w:fill="FFFFFF" w:val="clear"/>
        </w:rPr>
        <w:t xml:space="preserve">shares of CSNV in exchange for shares of CS and issued </w:t>
      </w:r>
      <w:r>
        <w:rPr>
          <w:rFonts w:ascii="Times New Roman;serif" w:hAnsi="Times New Roman;serif"/>
          <w:b w:val="false"/>
          <w:color w:val="000000"/>
          <w:sz w:val="20"/>
        </w:rPr>
        <w:t>5,211</w:t>
      </w:r>
      <w:r>
        <w:rPr>
          <w:color w:val="000000"/>
          <w:shd w:fill="FFFFFF" w:val="clear"/>
        </w:rPr>
        <w:t xml:space="preserve"> </w:t>
      </w:r>
      <w:r>
        <w:rPr>
          <w:rFonts w:ascii="Times New Roman;serif" w:hAnsi="Times New Roman;serif"/>
          <w:b w:val="false"/>
          <w:color w:val="000000"/>
          <w:sz w:val="20"/>
          <w:shd w:fill="FFFFFF" w:val="clear"/>
        </w:rPr>
        <w:t>shares of CS in exchange for shares of CSNV.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hanging="1440"/>
        <w:jc w:val="left"/>
        <w:rPr/>
      </w:pPr>
      <w:r>
        <w:rPr/>
      </w: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attached or incorporated herein by reference:</w:t>
      </w:r>
    </w:p>
    <w:tbl>
      <w:tblPr>
        <w:tblW w:w="10205" w:type="dxa"/>
        <w:jc w:val="left"/>
        <w:tblInd w:w="0" w:type="dxa"/>
        <w:tblLayout w:type="fixed"/>
        <w:tblCellMar>
          <w:top w:w="28" w:type="dxa"/>
          <w:left w:w="28" w:type="dxa"/>
          <w:bottom w:w="28" w:type="dxa"/>
          <w:right w:w="28" w:type="dxa"/>
        </w:tblCellMar>
      </w:tblPr>
      <w:tblGrid>
        <w:gridCol w:w="171"/>
        <w:gridCol w:w="151"/>
        <w:gridCol w:w="153"/>
        <w:gridCol w:w="133"/>
        <w:gridCol w:w="132"/>
        <w:gridCol w:w="132"/>
        <w:gridCol w:w="2281"/>
        <w:gridCol w:w="772"/>
        <w:gridCol w:w="779"/>
        <w:gridCol w:w="427"/>
        <w:gridCol w:w="427"/>
        <w:gridCol w:w="427"/>
        <w:gridCol w:w="1558"/>
        <w:gridCol w:w="1096"/>
        <w:gridCol w:w="1566"/>
      </w:tblGrid>
      <w:tr>
        <w:trPr/>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Exhibit Number</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33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dated March 31, 2026, by and among Unilever PLC, Unilever Alpha HoldCo B.V., Sandman Corporation, McCormick &amp; Company, Incorporated, Morpheus Merger Sub I Corp. and Morpheus Merger Sub II, LLC, incorporated by reference from Exhibit 2.1 of McCormick's Form 8-K/A, as amended, dated March 31, 2026, File No. 1-14920, as filed with the Securities and Exchange Commission on April 6, 2026.</w:t>
              </w:r>
            </w:hyperlink>
          </w:p>
        </w:tc>
      </w:tr>
      <w:tr>
        <w:trPr/>
        <w:tc>
          <w:tcPr>
            <w:tcW w:w="475" w:type="dxa"/>
            <w:gridSpan w:val="3"/>
            <w:tcBorders/>
            <w:tcMar>
              <w:top w:w="0" w:type="dxa"/>
              <w:left w:w="0" w:type="dxa"/>
              <w:bottom w:w="0" w:type="dxa"/>
              <w:right w:w="0" w:type="dxa"/>
            </w:tcMar>
            <w:vAlign w:val="center"/>
          </w:tcPr>
          <w:p>
            <w:pPr>
              <w:pStyle w:val="TableContents"/>
              <w:bidi w:val="0"/>
              <w:spacing w:before="0" w:after="283"/>
              <w:ind w:left="0" w:right="0" w:hanging="1080"/>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33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Separation and Distribution Agreement, dated as of March 31, 2026, by and among Unilever PLC, Unilever Alpha HoldCo B.V., Sandman Corporation and McCormick &amp; Company, Incorporated, incorporated by reference from Exhibit 2.2 of McCormick's Form 8-K/A, as amended, dated March 31, 2026, File No. 1-14920, as filed with the Securities and Exchange Commission on April 6, 2026.</w:t>
              </w:r>
            </w:hyperlink>
          </w:p>
        </w:tc>
      </w:tr>
      <w:tr>
        <w:trPr/>
        <w:tc>
          <w:tcPr>
            <w:tcW w:w="475" w:type="dxa"/>
            <w:gridSpan w:val="3"/>
            <w:tcBorders/>
            <w:tcMar>
              <w:top w:w="0" w:type="dxa"/>
              <w:left w:w="0" w:type="dxa"/>
              <w:bottom w:w="0" w:type="dxa"/>
              <w:right w:w="0" w:type="dxa"/>
            </w:tcMar>
            <w:vAlign w:val="center"/>
          </w:tcPr>
          <w:p>
            <w:pPr>
              <w:pStyle w:val="TableContents"/>
              <w:bidi w:val="0"/>
              <w:spacing w:before="0" w:after="283"/>
              <w:ind w:left="0" w:right="0" w:hanging="1080"/>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333" w:type="dxa"/>
            <w:gridSpan w:val="9"/>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r:id="rId4">
              <w:r>
                <w:rPr>
                  <w:rStyle w:val="InternetLink"/>
                  <w:rFonts w:ascii="Times New Roman;serif" w:hAnsi="Times New Roman;serif"/>
                  <w:b w:val="false"/>
                  <w:color w:val="0000FF"/>
                  <w:sz w:val="20"/>
                  <w:u w:val="single"/>
                </w:rPr>
                <w:t>Term Loan Agreement, dated April 28, 2026, by and among McCormick, as borrower, the lenders party thereto and Citibank, N.A., as administrative agent for the lenders, incorporated by reference from Exhibit 2.1 of McCormick’s Form 8-K, dated April 28, 2026, File No. 1-14920, as filed with the Securities and Exchange Commission on May 1, 2026.</w:t>
              </w:r>
            </w:hyperlink>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(3)</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93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Incorporation and By-Laws</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Restatement of Charter of McCormick &amp; Company, Incorporated dated April 16, 1990</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from Exhibit 4 of Registration Form S-8, Registration No. 33-39582 as filed with the Securities and Exchange Commission on March 25, 1991.</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to Charter of McCormick &amp; Company, Incorporated dated April 1, 1992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from Exhibit 4 of Registration Form S-8, Registration Statement No. 33-59842 as filed with the Securities and Exchange Commission on March 19, 1993.</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to Charter of McCormick &amp; Company, Incorporated dated March 27, 2003</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Incorporated by reference from Exhibit 4 of Registration Form S-8, Registration Statement No. 333-104084 as filed with the Securities and Exchange Commission on March 28, 2003.</w:t>
              </w:r>
            </w:hyperlink>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Amendment to Charter of McCormick &amp; Company, Incorporated dated April 2, 2021</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Incorporated by reference from Exhibit 3(i) of McCormick's Form 10-Q for the quarter ended May 31, 2021, File No. 1-14920, as filed with the Securities and Exchange Commission on July 1, 2021.</w:t>
              </w:r>
            </w:hyperlink>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3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w:t>
            </w:r>
          </w:p>
        </w:tc>
      </w:tr>
      <w:tr>
        <w:trPr/>
        <w:tc>
          <w:tcPr>
            <w:tcW w:w="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McCormick &amp; Company, Incorporated Amended and Restated on November 26, 2019</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Incorporated by reference from Exhibit 99.1 of McCormick's Form 8-K dated November 26, 2019, File No. 1-14920, as filed with the Securities and Exchange Commission on November 26, 2019.</w:t>
              </w:r>
            </w:hyperlink>
          </w:p>
        </w:tc>
      </w:tr>
    </w:tbl>
    <w:p>
      <w:pPr>
        <w:pStyle w:val="TextBody"/>
        <w:bidi w:val="0"/>
        <w:spacing w:lineRule="auto" w:line="288" w:before="18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     Instruments defining the rights of security holders, including indentures</w:t>
      </w:r>
    </w:p>
    <w:p>
      <w:pPr>
        <w:pStyle w:val="TextBody"/>
        <w:bidi w:val="0"/>
        <w:spacing w:lineRule="auto" w:line="288" w:before="180" w:after="283"/>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(i)See Exhibit 3 (Restatement of Charter and By-Laws)</w:t>
      </w:r>
    </w:p>
    <w:p>
      <w:pPr>
        <w:pStyle w:val="TextBody"/>
        <w:bidi w:val="0"/>
        <w:spacing w:lineRule="auto" w:line="288" w:before="180" w:after="283"/>
        <w:ind w:left="0" w:right="0" w:hanging="1260"/>
        <w:jc w:val="left"/>
        <w:rPr/>
      </w:pPr>
      <w:r>
        <w:rPr>
          <w:rFonts w:ascii="Times New Roman;serif" w:hAnsi="Times New Roman;serif"/>
          <w:b w:val="false"/>
          <w:color w:val="000000"/>
          <w:sz w:val="20"/>
        </w:rPr>
        <w:t>(ii)</w:t>
      </w:r>
      <w:hyperlink r:id="rId8">
        <w:r>
          <w:rPr>
            <w:rStyle w:val="InternetLink"/>
            <w:rFonts w:ascii="Times New Roman;serif" w:hAnsi="Times New Roman;serif"/>
            <w:b w:val="false"/>
            <w:color w:val="0000FF"/>
            <w:sz w:val="20"/>
            <w:u w:val="single"/>
          </w:rPr>
          <w:t>Summary of Certain Exchange Rights, incorporated by reference from Exhibit 4.1 of McCormick’s Form 10-Q for the quarter ended August 31, 2001, File No. 1-14920, as filed with the Securities and Exchange Commission on October 12, 2001.</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(iii)</w:t>
      </w:r>
      <w:hyperlink r:id="rId9">
        <w:r>
          <w:rPr>
            <w:rStyle w:val="InternetLink"/>
            <w:rFonts w:ascii="Times New Roman;serif" w:hAnsi="Times New Roman;serif"/>
            <w:b w:val="false"/>
            <w:color w:val="0000FF"/>
            <w:sz w:val="20"/>
            <w:u w:val="single"/>
          </w:rPr>
          <w:t>Indenture dated July 8, 2011 between McCormick and U.S. Bank National Association, incorporated by reference from Exhibit 4.1 of McCormick’s Form 8-K dated July 5, 2011, File No. 1-14920, as filed with the Securities and Exchange Commission on July 8, 2011.</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(iv)</w:t>
      </w:r>
      <w:hyperlink r:id="rId10">
        <w:r>
          <w:rPr>
            <w:rStyle w:val="InternetLink"/>
            <w:rFonts w:ascii="Times New Roman;serif" w:hAnsi="Times New Roman;serif"/>
            <w:b w:val="false"/>
            <w:color w:val="0000FF"/>
            <w:sz w:val="20"/>
            <w:u w:val="single"/>
          </w:rPr>
          <w:t>Form of 3.40% Notes due 2027, incorporated by reference from Exhibit 4.4 of McCormick’s Form 8-K dated August 7, 2017, File No. 1-14920, as filed with the Securities and Exchange Commission on August 11, 2017.</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w:t>
      </w:r>
      <w:hyperlink r:id="rId11">
        <w:r>
          <w:rPr>
            <w:rStyle w:val="InternetLink"/>
            <w:rFonts w:ascii="Times New Roman;serif" w:hAnsi="Times New Roman;serif"/>
            <w:b w:val="false"/>
            <w:color w:val="0000FF"/>
            <w:sz w:val="20"/>
            <w:u w:val="single"/>
          </w:rPr>
          <w:t>Form of 4.20% Notes due 2047, incorporated by reference from Exhibit 4.5 of McCormick’s Form 8-K dated August 7, 2017, File No. 1-14920, as filed with the Securities and Exchange Commission on August 11, 2017.</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(vi)</w:t>
      </w:r>
      <w:hyperlink r:id="rId12">
        <w:r>
          <w:rPr>
            <w:rStyle w:val="InternetLink"/>
            <w:rFonts w:ascii="Times New Roman;serif" w:hAnsi="Times New Roman;serif"/>
            <w:b w:val="false"/>
            <w:color w:val="0000FF"/>
            <w:sz w:val="20"/>
            <w:u w:val="single"/>
          </w:rPr>
          <w:t>Form of 2.50% Notes due 2030, incorporated by reference from Exhibit 4.2 of McCormick’s Form 8-K dated April 13, 2020, File No. 1-14920, as filed with the Securities and Exchange Commission on April 16, 2020.</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(vii)</w:t>
      </w:r>
      <w:hyperlink r:id="rId13">
        <w:r>
          <w:rPr>
            <w:rStyle w:val="InternetLink"/>
            <w:rFonts w:ascii="Times New Roman;serif" w:hAnsi="Times New Roman;serif"/>
            <w:b w:val="false"/>
            <w:color w:val="0000FF"/>
            <w:sz w:val="20"/>
            <w:u w:val="single"/>
          </w:rPr>
          <w:t>Form of 1.85% Notes due 2031, incorporated by reference from Exhibit 4.3 of McCormick’s Form 8-K dated February 11, 2021, File No. 1-14920, as filed with the Securities and Exchange Commission on February 11, 2021.</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(viii)</w:t>
      </w:r>
      <w:hyperlink r:id="rId14">
        <w:r>
          <w:rPr>
            <w:rStyle w:val="InternetLink"/>
            <w:rFonts w:ascii="Times New Roman;serif" w:hAnsi="Times New Roman;serif"/>
            <w:b w:val="false"/>
            <w:color w:val="0000FF"/>
            <w:sz w:val="20"/>
            <w:u w:val="single"/>
          </w:rPr>
          <w:t xml:space="preserve">Form of 4.95% Notes due 2033, incorporated by reference from Exhibit 4.2 of McCormick's Form 8-K dated April 6, 2023, File No. 1-14920, as filed with the Securities and Exchange Commission on April 6, 2023. </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(ix)</w:t>
      </w:r>
      <w:hyperlink r:id="rId15">
        <w:r>
          <w:rPr>
            <w:rStyle w:val="InternetLink"/>
            <w:rFonts w:ascii="Times New Roman;serif" w:hAnsi="Times New Roman;serif"/>
            <w:b w:val="false"/>
            <w:color w:val="0000FF"/>
            <w:sz w:val="20"/>
            <w:u w:val="single"/>
          </w:rPr>
          <w:t xml:space="preserve">Form of 4.70% Notes due 2034, incorporated by reference from Exhibit 4.2 of McCormick’s Form 8-K dated October 8, 2024, File No. 1-14920, as filed with the Securities and Exchange Commission on October 8, 2024. </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w:t>
      </w:r>
      <w:hyperlink r:id="rId16">
        <w:r>
          <w:rPr>
            <w:rStyle w:val="InternetLink"/>
            <w:rFonts w:ascii="Times New Roman;serif" w:hAnsi="Times New Roman;serif"/>
            <w:b w:val="false"/>
            <w:color w:val="0000FF"/>
            <w:sz w:val="20"/>
            <w:u w:val="single"/>
          </w:rPr>
          <w:t xml:space="preserve">Form of 4.15% Notes due 2029, incorporated by reference from Exhibit 4.2 of McCormick’s Form 8-K dated February 3, 2026, File No. 1-14920, as filed with the Securities and Exchange Commission on February 5, 2026. </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(xi)</w:t>
      </w:r>
      <w:hyperlink r:id="rId17">
        <w:r>
          <w:rPr>
            <w:rStyle w:val="InternetLink"/>
            <w:rFonts w:ascii="Times New Roman;serif" w:hAnsi="Times New Roman;serif"/>
            <w:b w:val="false"/>
            <w:color w:val="0000FF"/>
            <w:sz w:val="20"/>
            <w:u w:val="single"/>
          </w:rPr>
          <w:t>Description of Securities of McCormick &amp; Company, Incorporated, incorporated by reference from Exhibit 4(xiii) of McCormick's Form 10-K for the fiscal year ended November 30, 2021, File No. 1-14920, as filed with the Securities and Exchange Commission on January 27, 2022</w:t>
        </w:r>
      </w:hyperlink>
      <w:r>
        <w:rPr>
          <w:rFonts w:ascii="Times New Roman;serif" w:hAnsi="Times New Roman;serif"/>
          <w:b w:val="false"/>
          <w:color w:val="000000"/>
          <w:sz w:val="20"/>
        </w:rPr>
        <w:t>.</w:t>
      </w:r>
    </w:p>
    <w:p>
      <w:pPr>
        <w:pStyle w:val="TextBody"/>
        <w:bidi w:val="0"/>
        <w:spacing w:before="180" w:after="283"/>
        <w:jc w:val="left"/>
        <w:rPr/>
      </w:pPr>
      <w:r>
        <w:rPr/>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(10)Material Contracts</w:t>
      </w:r>
    </w:p>
    <w:p>
      <w:pPr>
        <w:pStyle w:val="TextBody"/>
        <w:bidi w:val="0"/>
        <w:spacing w:before="0" w:after="0"/>
        <w:ind w:left="0" w:right="0" w:hanging="900"/>
        <w:jc w:val="left"/>
        <w:rPr/>
      </w:pPr>
      <w:r>
        <w:rPr/>
      </w:r>
    </w:p>
    <w:p>
      <w:pPr>
        <w:pStyle w:val="TextBody"/>
        <w:bidi w:val="0"/>
        <w:spacing w:lineRule="auto" w:line="288" w:before="180" w:after="283"/>
        <w:ind w:left="0" w:right="0" w:hanging="1260"/>
        <w:jc w:val="left"/>
        <w:rPr/>
      </w:pPr>
      <w:r>
        <w:rPr>
          <w:rFonts w:ascii="Times New Roman;serif" w:hAnsi="Times New Roman;serif"/>
          <w:b w:val="false"/>
          <w:color w:val="000000"/>
          <w:sz w:val="20"/>
        </w:rPr>
        <w:t>(i)</w:t>
      </w:r>
      <w:hyperlink r:id="rId18">
        <w:r>
          <w:rPr>
            <w:rStyle w:val="InternetLink"/>
            <w:rFonts w:ascii="Times New Roman;serif" w:hAnsi="Times New Roman;serif"/>
            <w:b w:val="false"/>
            <w:color w:val="0000FF"/>
            <w:sz w:val="20"/>
            <w:u w:val="single"/>
          </w:rPr>
          <w:t>Deferred Compensation Plan, as restated on January 1, 2000, and amended on August 29, 2000, September 5, 2000, and May 16, 2003, in which directors, officers, and certain other management employees participate, a copy of which Plan document and amendments was attached as Exhibit 10(viii) of McCormick’s Form 10-Q for the quarter ended August 31, 2003, File No. 1-14920, as filed with the Securities and Exchange Commission on October 14, 2003, and incorporated by reference herein.*</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(ii)</w:t>
      </w:r>
      <w:hyperlink r:id="rId19">
        <w:r>
          <w:rPr>
            <w:rStyle w:val="InternetLink"/>
            <w:rFonts w:ascii="Times New Roman;serif" w:hAnsi="Times New Roman;serif"/>
            <w:b w:val="false"/>
            <w:color w:val="0000FF"/>
            <w:sz w:val="20"/>
            <w:u w:val="single"/>
          </w:rPr>
          <w:t>2004 Long-Term Incentive Plan, in which officers and certain other management employees participate, is set forth in Exhibit A of McCormick’s definitive Proxy Statement dated February 17, 2004, File No. 1-14920, as filed with the Securities and Exchange Commission on February 17, 2004, and incorporated by reference herein.*</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(iii)</w:t>
      </w:r>
      <w:hyperlink r:id="rId20">
        <w:r>
          <w:rPr>
            <w:rStyle w:val="InternetLink"/>
            <w:rFonts w:ascii="Times New Roman;serif" w:hAnsi="Times New Roman;serif"/>
            <w:b w:val="false"/>
            <w:color w:val="0000FF"/>
            <w:sz w:val="20"/>
            <w:u w:val="single"/>
          </w:rPr>
          <w:t>Non-Qualified Retirement Savings Plan, with an effective date of February 1, 2017, in which directors, officers, and certain other management employees participate, a copy of which Plan document was attached as Exhibit 10(v) of McCormick's Form 10-Q for the quarter ended February 28, 2017, File No. 1-14920, as filed with the Securities and Exchange Commission on March 28, 2017, and incorporated by reference herein.*</w:t>
        </w:r>
      </w:hyperlink>
      <w:r>
        <w:rPr>
          <w:color w:val="000000"/>
        </w:rPr>
        <w:t>    </w:t>
      </w:r>
    </w:p>
    <w:p>
      <w:pPr>
        <w:pStyle w:val="TextBody"/>
        <w:bidi w:val="0"/>
        <w:spacing w:lineRule="auto" w:line="288" w:before="180" w:after="283"/>
        <w:ind w:left="0" w:right="0" w:hanging="1260"/>
        <w:jc w:val="left"/>
        <w:rPr/>
      </w:pPr>
      <w:r>
        <w:rPr>
          <w:rFonts w:ascii="Times New Roman;serif" w:hAnsi="Times New Roman;serif"/>
          <w:b w:val="false"/>
          <w:color w:val="000000"/>
          <w:sz w:val="20"/>
        </w:rPr>
        <w:t>(iv)</w:t>
      </w:r>
      <w:hyperlink r:id="rId21">
        <w:r>
          <w:rPr>
            <w:rStyle w:val="InternetLink"/>
            <w:rFonts w:ascii="Times New Roman;serif" w:hAnsi="Times New Roman;serif"/>
            <w:b w:val="false"/>
            <w:color w:val="0000FF"/>
            <w:sz w:val="20"/>
            <w:u w:val="single"/>
          </w:rPr>
          <w:t>The 2007 Omnibus Incentive Plan, in which directors, officers, and certain other management employees participate, is set forth in Exhibit A of McCormick’s definitive Proxy Statement dated February 20, 2008, File No. 1-14920, as filed with the Securities and Exchange Commission on February 20, 2008, and incorporated by reference herein, as amended by Amendment No. 1 thereto, which Amendment is incorporated by reference from Exhibit 10(xi) of McCormick’s 10-K for the fiscal year ended November 30, 2008, File No. 1-14920, as filed with the Securities and Exchange Commission on January 28, 2009.*</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w:t>
      </w:r>
      <w:hyperlink r:id="rId22">
        <w:r>
          <w:rPr>
            <w:rStyle w:val="InternetLink"/>
            <w:rFonts w:ascii="Times New Roman;serif" w:hAnsi="Times New Roman;serif"/>
            <w:b w:val="false"/>
            <w:color w:val="0000FF"/>
            <w:sz w:val="20"/>
            <w:u w:val="single"/>
          </w:rPr>
          <w:t>The Amended and Restated 2013 Omnibus Incentive Plan, in which directors, officers and certain other management employees participate, is incorporated by reference from Exhibit A of McCormick's definitive Proxy Statement dated February 14, 2019, File No. 1-14920, as filed with the Securities and Exchange Commission on February 14, 2019.*</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(vi)</w:t>
      </w:r>
      <w:hyperlink r:id="rId23">
        <w:r>
          <w:rPr>
            <w:rStyle w:val="InternetLink"/>
            <w:rFonts w:ascii="Times New Roman;serif" w:hAnsi="Times New Roman;serif"/>
            <w:b w:val="false"/>
            <w:color w:val="0000FF"/>
            <w:sz w:val="20"/>
            <w:u w:val="single"/>
          </w:rPr>
          <w:t>The 2022 Omnibus Incentive Plan, in which directors, officers and certain other management employees participate, is incorporated by reference from Exhibit A of McCormick’s definitive Proxy Statement dated February 17, 2022, File No. 1-14920, as filed with the Securities and Exchange Commission on February 17, 2022.*</w:t>
        </w:r>
      </w:hyperlink>
      <w:r>
        <w:rPr>
          <w:color w:val="000000"/>
        </w:rPr>
        <w:t xml:space="preserve"> </w:t>
      </w:r>
    </w:p>
    <w:p>
      <w:pPr>
        <w:pStyle w:val="TextBody"/>
        <w:bidi w:val="0"/>
        <w:spacing w:lineRule="auto" w:line="288" w:before="180" w:after="283"/>
        <w:ind w:left="0" w:right="0" w:hanging="1260"/>
        <w:jc w:val="left"/>
        <w:rPr/>
      </w:pPr>
      <w:r>
        <w:rPr>
          <w:rFonts w:ascii="Times New Roman;serif" w:hAnsi="Times New Roman;serif"/>
          <w:b w:val="false"/>
          <w:color w:val="000000"/>
          <w:sz w:val="20"/>
        </w:rPr>
        <w:t>(vii)</w:t>
      </w:r>
      <w:hyperlink r:id="rId24">
        <w:r>
          <w:rPr>
            <w:rStyle w:val="InternetLink"/>
            <w:rFonts w:ascii="Times New Roman;serif" w:hAnsi="Times New Roman;serif"/>
            <w:b w:val="false"/>
            <w:color w:val="0000FF"/>
            <w:sz w:val="20"/>
            <w:u w:val="single"/>
          </w:rPr>
          <w:t>Amendment No. 1 to the 2022 Omnibus Incentive Plan is incorporated by reference from Exhibit 10(vii) of McCormick's Form 10-Q for the quarter ended May 31, 2022, File No. 1-14920, as filed with the Securities and Exchange Commission on June 29, 2022.*</w:t>
        </w:r>
      </w:hyperlink>
      <w:r>
        <w:rPr>
          <w:color w:val="000000"/>
        </w:rPr>
        <w:t xml:space="preserve"> </w:t>
      </w:r>
    </w:p>
    <w:p>
      <w:pPr>
        <w:pStyle w:val="TextBody"/>
        <w:bidi w:val="0"/>
        <w:spacing w:lineRule="auto" w:line="288" w:before="180" w:after="283"/>
        <w:ind w:left="0" w:right="0" w:hanging="1260"/>
        <w:jc w:val="left"/>
        <w:rPr/>
      </w:pPr>
      <w:r>
        <w:rPr>
          <w:rFonts w:ascii="Times New Roman;serif" w:hAnsi="Times New Roman;serif"/>
          <w:b w:val="false"/>
          <w:color w:val="000000"/>
          <w:sz w:val="20"/>
        </w:rPr>
        <w:t>(viii)</w:t>
      </w:r>
      <w:hyperlink r:id="rId25">
        <w:r>
          <w:rPr>
            <w:rStyle w:val="InternetLink"/>
            <w:rFonts w:ascii="Times New Roman;serif" w:hAnsi="Times New Roman;serif"/>
            <w:b w:val="false"/>
            <w:color w:val="0000FF"/>
            <w:sz w:val="20"/>
            <w:u w:val="single"/>
          </w:rPr>
          <w:t>Form of Long-Term Performance Plan Agreement, incorporated by reference from Exhibit 10(i) of McCormick's Form 8-K/A, as amended, dated March 30, 2022, File No. 1-14920, as filed with the Securities and Exchange Commission on April 5, 2022.*</w:t>
        </w:r>
      </w:hyperlink>
      <w:r>
        <w:rPr>
          <w:color w:val="000000"/>
        </w:rPr>
        <w:t>        </w:t>
      </w:r>
    </w:p>
    <w:p>
      <w:pPr>
        <w:pStyle w:val="TextBody"/>
        <w:bidi w:val="0"/>
        <w:spacing w:lineRule="auto" w:line="288" w:before="180" w:after="283"/>
        <w:ind w:left="0" w:right="0" w:hanging="1260"/>
        <w:jc w:val="left"/>
        <w:rPr/>
      </w:pPr>
      <w:r>
        <w:rPr>
          <w:rFonts w:ascii="Times New Roman;serif" w:hAnsi="Times New Roman;serif"/>
          <w:b w:val="false"/>
          <w:color w:val="000000"/>
          <w:sz w:val="20"/>
        </w:rPr>
        <w:t>(ix)</w:t>
      </w:r>
      <w:hyperlink r:id="rId26">
        <w:r>
          <w:rPr>
            <w:rStyle w:val="InternetLink"/>
            <w:rFonts w:ascii="Times New Roman;serif" w:hAnsi="Times New Roman;serif"/>
            <w:b w:val="false"/>
            <w:color w:val="0000FF"/>
            <w:sz w:val="20"/>
            <w:u w:val="single"/>
          </w:rPr>
          <w:t>Form of Restricted Stock Units Agreement, incorporated by reference from Exhibit 10(ii) of McCormick's Form 8-K/A, as amended, dated March 30, 2022, File No. 1-14920, as filed with the Securities and Exchange Commission on April 5, 2022.*</w:t>
        </w:r>
      </w:hyperlink>
      <w:r>
        <w:rPr>
          <w:color w:val="000000"/>
        </w:rPr>
        <w:t>            </w:t>
      </w:r>
    </w:p>
    <w:p>
      <w:pPr>
        <w:pStyle w:val="TextBody"/>
        <w:bidi w:val="0"/>
        <w:spacing w:lineRule="auto" w:line="288" w:before="180" w:after="283"/>
        <w:ind w:left="0" w:right="0" w:hanging="1260"/>
        <w:jc w:val="left"/>
        <w:rPr/>
      </w:pPr>
      <w:r>
        <w:rPr>
          <w:rFonts w:ascii="Times New Roman;serif" w:hAnsi="Times New Roman;serif"/>
          <w:b w:val="false"/>
          <w:color w:val="000000"/>
          <w:sz w:val="20"/>
        </w:rPr>
        <w:t>(x)</w:t>
      </w:r>
      <w:hyperlink r:id="rId27">
        <w:r>
          <w:rPr>
            <w:rStyle w:val="InternetLink"/>
            <w:rFonts w:ascii="Times New Roman;serif" w:hAnsi="Times New Roman;serif"/>
            <w:b w:val="false"/>
            <w:color w:val="0000FF"/>
            <w:sz w:val="20"/>
            <w:u w:val="single"/>
          </w:rPr>
          <w:t>Form of Restricted Stock Units Agreement for Directors, incorporated by reference from Exhibit 10(iii) of McCormick's Form 8-K/A, as amended, dated March 30, 2022, File No. 1-14920, as filed with the Securities and Exchange Commission on April 5, 2022.*</w:t>
        </w:r>
      </w:hyperlink>
      <w:r>
        <w:rPr>
          <w:color w:val="000000"/>
        </w:rPr>
        <w:t>    </w:t>
      </w:r>
    </w:p>
    <w:p>
      <w:pPr>
        <w:pStyle w:val="TextBody"/>
        <w:bidi w:val="0"/>
        <w:spacing w:lineRule="auto" w:line="288" w:before="180" w:after="283"/>
        <w:ind w:left="0" w:right="0" w:hanging="1260"/>
        <w:jc w:val="left"/>
        <w:rPr/>
      </w:pPr>
      <w:r>
        <w:rPr>
          <w:rFonts w:ascii="Times New Roman;serif" w:hAnsi="Times New Roman;serif"/>
          <w:b w:val="false"/>
          <w:color w:val="000000"/>
          <w:sz w:val="20"/>
        </w:rPr>
        <w:t>(xi)</w:t>
      </w:r>
      <w:hyperlink r:id="rId28">
        <w:r>
          <w:rPr>
            <w:rStyle w:val="InternetLink"/>
            <w:rFonts w:ascii="Times New Roman;serif" w:hAnsi="Times New Roman;serif"/>
            <w:b w:val="false"/>
            <w:color w:val="0000FF"/>
            <w:sz w:val="20"/>
            <w:u w:val="single"/>
          </w:rPr>
          <w:t>Form of Non-Qualified Stock Option Agreement, incorporated by reference from Exhibit 10(iv) of McCormick's Form 8-K/A, as amended, dated March 30, 2022, File No. 1-14920, as filed with the Securities and Exchange Commission on April 5, 2022.*</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(xii)</w:t>
      </w:r>
      <w:hyperlink r:id="rId29">
        <w:r>
          <w:rPr>
            <w:rStyle w:val="InternetLink"/>
            <w:rFonts w:ascii="Times New Roman;serif" w:hAnsi="Times New Roman;serif"/>
            <w:b w:val="false"/>
            <w:color w:val="0000FF"/>
            <w:sz w:val="20"/>
            <w:u w:val="single"/>
          </w:rPr>
          <w:t>Form of Non-Qualified Stock Option Agreement for Directors, incorporated by reference from Exhibit 10(v) of McCormick's Form 8-K/A, as amended, March 30, 2022, File No. 1-14920, as filed with the Securities and Exchange Commission on April 5, 2022.*</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(xiii)</w:t>
      </w:r>
      <w:hyperlink r:id="rId30">
        <w:r>
          <w:rPr>
            <w:rStyle w:val="InternetLink"/>
            <w:rFonts w:ascii="Times New Roman;serif" w:hAnsi="Times New Roman;serif"/>
            <w:b w:val="false"/>
            <w:color w:val="0000FF"/>
            <w:sz w:val="20"/>
            <w:u w:val="single"/>
          </w:rPr>
          <w:t>Form of Non-Qualified Stock Option Agreement, incorporated by reference from Exhibit 10(xii) of McCormick's Form 10-Q for the quarter ended May 31, 2024, File No. 1-14920, as filed with the Securities and Exchange Commission on June 27, 2024. *</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(xiv)</w:t>
      </w:r>
      <w:hyperlink r:id="rId31">
        <w:r>
          <w:rPr>
            <w:rStyle w:val="InternetLink"/>
            <w:rFonts w:ascii="Times New Roman;serif" w:hAnsi="Times New Roman;serif"/>
            <w:b w:val="false"/>
            <w:color w:val="0000FF"/>
            <w:sz w:val="20"/>
            <w:u w:val="single"/>
          </w:rPr>
          <w:t>Form of Non-Qualified Stock Option Agreement for Directors, incorporated by reference from Exhibit 10(xiv) of McCormick's Form 10-Q for the quarter ended May 31, 2024, File No. 1-14920, as filed with the Securities and Exchange Commission on June 27, 2024. *</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(xv)</w:t>
      </w:r>
      <w:hyperlink r:id="rId32">
        <w:r>
          <w:rPr>
            <w:rStyle w:val="InternetLink"/>
            <w:rFonts w:ascii="Times New Roman;serif" w:hAnsi="Times New Roman;serif"/>
            <w:b w:val="false"/>
            <w:color w:val="0000FF"/>
            <w:sz w:val="20"/>
            <w:u w:val="single"/>
          </w:rPr>
          <w:t>Form of Indemnification Agreement, incorporated by reference from Exhibit 10(xv) of McCormick's Form 10-Q for the quarter ended February 28, 2014, File No. 1-14920, as filed with the Securities and Exchange Commission on March 26, 2014.*</w:t>
        </w:r>
      </w:hyperlink>
    </w:p>
    <w:p>
      <w:pPr>
        <w:pStyle w:val="TextBody"/>
        <w:bidi w:val="0"/>
        <w:spacing w:lineRule="auto" w:line="288" w:before="180" w:after="283"/>
        <w:ind w:left="0" w:right="0" w:hanging="1260"/>
        <w:jc w:val="left"/>
        <w:rPr/>
      </w:pPr>
      <w:r>
        <w:rPr>
          <w:rFonts w:ascii="Times New Roman;serif" w:hAnsi="Times New Roman;serif"/>
          <w:b w:val="false"/>
          <w:color w:val="000000"/>
          <w:sz w:val="20"/>
        </w:rPr>
        <w:t>(xvi)</w:t>
      </w:r>
      <w:hyperlink w:anchor="formofretentionawardagreem.htm">
        <w:r>
          <w:rPr>
            <w:rStyle w:val="InternetLink"/>
          </w:rPr>
          <w:t>Form of Retention Award Agreeme</w:t>
        </w:r>
      </w:hyperlink>
      <w:hyperlink w:anchor="formofretentionawardagreem.htm">
        <w:r>
          <w:rPr>
            <w:rStyle w:val="InternetLink"/>
          </w:rPr>
          <w:t>nt</w:t>
        </w:r>
      </w:hyperlink>
      <w:hyperlink w:anchor="formofretentionawardagreem.htm">
        <w:r>
          <w:rPr>
            <w:rStyle w:val="InternetLink"/>
          </w:rPr>
          <w:t>*</w:t>
        </w:r>
      </w:hyperlink>
      <w:r>
        <w:rPr>
          <w:color w:val="000000"/>
        </w:rPr>
        <w:t xml:space="preserve"> </w:t>
      </w:r>
      <w:r>
        <w:rPr>
          <w:rFonts w:ascii="Times New Roman;serif" w:hAnsi="Times New Roman;serif"/>
          <w:b w:val="false"/>
          <w:color w:val="000000"/>
          <w:sz w:val="20"/>
        </w:rPr>
        <w:t xml:space="preserve">Filed herewith </w:t>
      </w:r>
    </w:p>
    <w:p>
      <w:pPr>
        <w:pStyle w:val="TextBody"/>
        <w:bidi w:val="0"/>
        <w:spacing w:lineRule="auto" w:line="288" w:before="180" w:after="283"/>
        <w:ind w:left="0" w:right="0" w:hanging="1260"/>
        <w:jc w:val="left"/>
        <w:rPr/>
      </w:pPr>
      <w:r>
        <w:rPr>
          <w:rFonts w:ascii="Times New Roman;serif" w:hAnsi="Times New Roman;serif"/>
          <w:b w:val="false"/>
          <w:color w:val="000000"/>
          <w:sz w:val="20"/>
        </w:rPr>
        <w:t>(xvii)</w:t>
      </w:r>
      <w:hyperlink r:id="rId33">
        <w:r>
          <w:rPr>
            <w:rStyle w:val="InternetLink"/>
            <w:rFonts w:ascii="Times New Roman;serif" w:hAnsi="Times New Roman;serif"/>
            <w:b w:val="false"/>
            <w:color w:val="0000FF"/>
            <w:sz w:val="20"/>
            <w:u w:val="single"/>
          </w:rPr>
          <w:t xml:space="preserve">Severance Plan for Executives, incorporated by reference from Exhibit 10(xix) of McCormick's Form 10-Q for the quarter ended February 28, 2015, File No. 1-14920, as filed with the Securities and Exchange Commission on March 31, 2015.* </w:t>
        </w:r>
      </w:hyperlink>
      <w:r>
        <w:rPr>
          <w:color w:val="000000"/>
        </w:rPr>
        <w:t>    </w:t>
      </w:r>
    </w:p>
    <w:p>
      <w:pPr>
        <w:pStyle w:val="TextBody"/>
        <w:bidi w:val="0"/>
        <w:spacing w:lineRule="auto" w:line="288" w:before="180" w:after="283"/>
        <w:ind w:left="0" w:right="0" w:hanging="1260"/>
        <w:jc w:val="left"/>
        <w:rPr/>
      </w:pPr>
      <w:r>
        <w:rPr>
          <w:rFonts w:ascii="Times New Roman;serif" w:hAnsi="Times New Roman;serif"/>
          <w:b w:val="false"/>
          <w:color w:val="000000"/>
          <w:sz w:val="20"/>
        </w:rPr>
        <w:t>(xviii)</w:t>
      </w:r>
      <w:hyperlink r:id="rId34">
        <w:r>
          <w:rPr>
            <w:rStyle w:val="InternetLink"/>
            <w:rFonts w:ascii="Times New Roman;serif" w:hAnsi="Times New Roman;serif"/>
            <w:b w:val="false"/>
            <w:color w:val="0000FF"/>
            <w:sz w:val="20"/>
            <w:u w:val="single"/>
          </w:rPr>
          <w:t>Employee Matters Agreement, dated as of March 31, 2026, by and among Unilever PLC, Sandman Corporation, Unilever Alpha HoldCo B.V. and McCormick &amp; Company, Incorporated, incorporated by reference from Exhibit 10.1 of McCormick’s Form 8-K/A, as amended, dated March 31, 2026, File No. 1-14920, as filed with the Securities and Exchange Commission on April 6, 2026.</w:t>
        </w:r>
      </w:hyperlink>
    </w:p>
    <w:p>
      <w:pPr>
        <w:pStyle w:val="TextBody"/>
        <w:bidi w:val="0"/>
        <w:spacing w:lineRule="auto" w:line="268" w:before="180" w:after="283"/>
        <w:ind w:left="0" w:right="0" w:hanging="2160"/>
        <w:jc w:val="left"/>
        <w:rPr/>
      </w:pPr>
      <w:r>
        <w:rPr>
          <w:rFonts w:ascii="Times New Roman;serif" w:hAnsi="Times New Roman;serif"/>
          <w:b w:val="false"/>
          <w:color w:val="000000"/>
          <w:sz w:val="20"/>
        </w:rPr>
        <w:t>(19)     </w:t>
      </w:r>
      <w:hyperlink r:id="rId35">
        <w:r>
          <w:rPr>
            <w:rStyle w:val="InternetLink"/>
            <w:rFonts w:ascii="Times New Roman;serif" w:hAnsi="Times New Roman;serif"/>
            <w:b w:val="false"/>
            <w:color w:val="0000FF"/>
            <w:sz w:val="20"/>
            <w:u w:val="single"/>
          </w:rPr>
          <w:t xml:space="preserve">McCormick Insider Trading Policy, incorporated by reference from Exhibit 19 of McCormick’s Form 10-K for the fiscal year ended November 30, 2024, File No. 1-14920, as filed with the Securities and Exchange Commission on January 23, 2025. </w:t>
        </w:r>
      </w:hyperlink>
      <w:r>
        <w:rPr>
          <w:color w:val="000000"/>
        </w:rPr>
        <w:t>        </w:t>
      </w:r>
    </w:p>
    <w:p>
      <w:pPr>
        <w:pStyle w:val="TextBody"/>
        <w:bidi w:val="0"/>
        <w:spacing w:lineRule="auto" w:line="288" w:before="180" w:after="283"/>
        <w:ind w:left="0" w:right="0" w:hanging="2160"/>
        <w:jc w:val="left"/>
        <w:rPr>
          <w:rFonts w:ascii="Times New Roman;serif" w:hAnsi="Times New Roman;serif"/>
          <w:b w:val="false"/>
          <w:color w:val="000000"/>
          <w:sz w:val="20"/>
        </w:rPr>
      </w:pPr>
      <w:r>
        <w:rPr>
          <w:rFonts w:ascii="Times New Roman;serif" w:hAnsi="Times New Roman;serif"/>
          <w:b w:val="false"/>
          <w:color w:val="000000"/>
          <w:sz w:val="20"/>
        </w:rPr>
        <w:t>(31)   Rule 13a-14(a)/15d-14(a) Certifications    Filed herewith</w:t>
      </w:r>
    </w:p>
    <w:p>
      <w:pPr>
        <w:pStyle w:val="TextBody"/>
        <w:bidi w:val="0"/>
        <w:spacing w:lineRule="auto" w:line="288" w:before="180" w:after="283"/>
        <w:ind w:left="0" w:right="0" w:hanging="1260"/>
        <w:jc w:val="left"/>
        <w:rPr/>
      </w:pPr>
      <w:r>
        <w:rPr>
          <w:rFonts w:ascii="Times New Roman;serif" w:hAnsi="Times New Roman;serif"/>
          <w:b w:val="false"/>
          <w:color w:val="0000FF"/>
          <w:sz w:val="20"/>
          <w:u w:val="single"/>
        </w:rPr>
        <w:t>(i)</w:t>
      </w:r>
      <w:hyperlink w:anchor="mkc-08312026xex311.htm">
        <w:r>
          <w:rPr>
            <w:rStyle w:val="InternetLink"/>
          </w:rPr>
          <w:t>Certification of Brendan M. Foley, Chairman, President, and Chief Executive Officer, pursuant to Rule 13a-14(a) or Rule 15d-14(a) under the Securities Exchange Act of 1934, as adopted pursuant to Section 302 of the Sarbanes-Oxley Act of 2002.</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1260"/>
        <w:jc w:val="left"/>
        <w:rPr/>
      </w:pPr>
      <w:r>
        <w:rPr>
          <w:rFonts w:ascii="Times New Roman;serif" w:hAnsi="Times New Roman;serif"/>
          <w:b w:val="false"/>
          <w:color w:val="0000FF"/>
          <w:sz w:val="20"/>
          <w:u w:val="single"/>
        </w:rPr>
        <w:t>(ii)</w:t>
      </w:r>
      <w:hyperlink w:anchor="mkc-08312026xex312.htm">
        <w:r>
          <w:rPr>
            <w:rStyle w:val="InternetLink"/>
          </w:rPr>
          <w:t>Certification of Marcos M. Gabriel, Executive Vice President and Chief Financial Officer, pursuant to Rule 13a-14(a) or Rule 15d-14(a) under the Securities Exchange Act of 1934, as adopted pursuant to Section 302 of the Sarbanes-Oxley Act of 2002.</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(32)   Section 1350 Certifications            Filed herewith</w:t>
      </w:r>
    </w:p>
    <w:p>
      <w:pPr>
        <w:pStyle w:val="TextBody"/>
        <w:bidi w:val="0"/>
        <w:spacing w:lineRule="auto" w:line="288" w:before="180" w:after="283"/>
        <w:ind w:left="0" w:right="0" w:hanging="1260"/>
        <w:jc w:val="left"/>
        <w:rPr/>
      </w:pPr>
      <w:r>
        <w:rPr>
          <w:rFonts w:ascii="Times New Roman;serif" w:hAnsi="Times New Roman;serif"/>
          <w:b w:val="false"/>
          <w:color w:val="0000FF"/>
          <w:sz w:val="20"/>
          <w:u w:val="single"/>
        </w:rPr>
        <w:t>(i)</w:t>
      </w:r>
      <w:hyperlink w:anchor="mkc-08312026xex321.htm">
        <w:r>
          <w:rPr>
            <w:rStyle w:val="InternetLink"/>
          </w:rPr>
          <w:t>Certification of Brendan M. Foley, Chairman, President, and Chief Executive Officer, pursuant to Rule 13a-14(b) or Rule 15d-14(b) under the Securities Exchange Act of 1934 and 18 U.S.C. Section 1350, as adopted pursuant to Section 906 of the Sarbanes-Oxley Act of 2002.</w:t>
        </w:r>
      </w:hyperlink>
    </w:p>
    <w:p>
      <w:pPr>
        <w:pStyle w:val="TextBody"/>
        <w:bidi w:val="0"/>
        <w:spacing w:lineRule="auto" w:line="288" w:before="180" w:after="283"/>
        <w:ind w:left="0" w:right="0" w:hanging="1260"/>
        <w:jc w:val="left"/>
        <w:rPr/>
      </w:pPr>
      <w:r>
        <w:rPr>
          <w:rFonts w:ascii="Times New Roman;serif" w:hAnsi="Times New Roman;serif"/>
          <w:b w:val="false"/>
          <w:color w:val="0000FF"/>
          <w:sz w:val="20"/>
          <w:u w:val="single"/>
        </w:rPr>
        <w:t>(ii)</w:t>
      </w:r>
      <w:hyperlink w:anchor="mkc-08312026xex322.htm">
        <w:r>
          <w:rPr>
            <w:rStyle w:val="InternetLink"/>
          </w:rPr>
          <w:t>Certification of Marcos M. Gabriel, Executive Vice President and Chief Financial Officer, pursuant to Rule 13a-14(b) or Rule 15d-14(b) under the Securities Exchange Act of 1934 and 18 U.S.C. Section 1350, as adopted pursuant to Section 906 of the Sarbanes-Oxley Act of 2002.</w:t>
        </w:r>
      </w:hyperlink>
    </w:p>
    <w:p>
      <w:pPr>
        <w:pStyle w:val="TextBody"/>
        <w:bidi w:val="0"/>
        <w:spacing w:lineRule="auto" w:line="288" w:before="180" w:after="283"/>
        <w:jc w:val="left"/>
        <w:rPr/>
      </w:pPr>
      <w:r>
        <w:rPr>
          <w:rFonts w:ascii="Times New Roman;serif" w:hAnsi="Times New Roman;serif"/>
          <w:b w:val="false"/>
          <w:color w:val="000000"/>
          <w:sz w:val="20"/>
        </w:rPr>
        <w:t xml:space="preserve">(97) </w:t>
      </w:r>
      <w:hyperlink r:id="rId36">
        <w:r>
          <w:rPr>
            <w:rStyle w:val="InternetLink"/>
            <w:rFonts w:ascii="Times New Roman;serif" w:hAnsi="Times New Roman;serif"/>
            <w:b w:val="false"/>
            <w:color w:val="0000FF"/>
            <w:sz w:val="20"/>
            <w:u w:val="single"/>
          </w:rPr>
          <w:t>McCormick Clawback Policy, incorporated by reference from Exhibit 97 of McCormick's Form 10-K for the fiscal year ended November 30, 2023, File No. 1-14920, as filed with the Securities and Exchange Commission on January 25, 2024.</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(101) The following financial information from the Quarterly Report on Form 10-Q of McCormick for the quarter ended August 31, 2026, filed electronically herewith, and formatted in Inline XBRL (Extensible Business Reporting Language): (i) Condensed Consolidated Balance Sheet; (ii) Condensed Consolidated Income Statement; (iii) Condensed Consolidated Statement of Comprehensive Income; (iv) Condensed Consolidated Cash Flow Statement; (v) Condensed Consolidated Statement of Shareholders' Equity; and (vi) Notes to the Condensed Consolidated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(104) Inline XBRL for the cover page from the Quarterly Report on Form 10-Q of McCormick for the quarter ended August 31, 2026, filed electronically herewith, included in the Exhibit 101 inline XBRL Document Set. </w:t>
      </w:r>
    </w:p>
    <w:p>
      <w:pPr>
        <w:pStyle w:val="TextBody"/>
        <w:bidi w:val="0"/>
        <w:spacing w:lineRule="auto" w:line="288" w:before="0" w:after="0"/>
        <w:jc w:val="left"/>
        <w:rPr>
          <w:color w:val="000000"/>
        </w:rPr>
      </w:pPr>
      <w:r>
        <w:rPr>
          <w:color w:val="000000"/>
        </w:rPr>
        <w:t> </w:t>
      </w:r>
    </w:p>
    <w:tbl>
      <w:tblPr>
        <w:tblW w:w="5366" w:type="dxa"/>
        <w:jc w:val="left"/>
        <w:tblInd w:w="0" w:type="dxa"/>
        <w:tblLayout w:type="fixed"/>
        <w:tblCellMar>
          <w:top w:w="28" w:type="dxa"/>
          <w:left w:w="28" w:type="dxa"/>
          <w:bottom w:w="28" w:type="dxa"/>
          <w:right w:w="28" w:type="dxa"/>
        </w:tblCellMar>
      </w:tblPr>
      <w:tblGrid>
        <w:gridCol w:w="124"/>
        <w:gridCol w:w="109"/>
        <w:gridCol w:w="109"/>
        <w:gridCol w:w="1471"/>
        <w:gridCol w:w="1471"/>
        <w:gridCol w:w="2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McCormick hereby undertakes to furnish to the Securities and Exchange Commission, upon its request, copies of additional instruments of McCormick with respect to long-term debt that involve an amount of securities that do not exceed 10 percent of the total assets of McCormick and its subsidiaries on a consolidated basis, pursuant to Regulation S-K, Item 601(b)(4)(iii)(A).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80" w:after="283"/>
        <w:ind w:left="0" w:right="0" w:hanging="1260"/>
        <w:jc w:val="left"/>
        <w:rPr/>
      </w:pPr>
      <w:hyperlink w:anchor="idf69e08d968d4a39af6b5b2caff334c2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977"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454"/>
        <w:gridCol w:w="454"/>
        <w:gridCol w:w="454"/>
        <w:gridCol w:w="454"/>
        <w:gridCol w:w="454"/>
        <w:gridCol w:w="454"/>
        <w:gridCol w:w="1247"/>
        <w:gridCol w:w="1247"/>
        <w:gridCol w:w="179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McCORMICK &amp; COMPANY,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Marcos M. Gabriel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Marcos M. Gabriel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E. Giese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E. Giese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&amp;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1"/>
        </w:rPr>
        <w:t>Exhibit 10(xvi)</w:t>
      </w:r>
    </w:p>
    <w:p>
      <w:pPr>
        <w:pStyle w:val="TextBody"/>
        <w:bidi w:val="0"/>
        <w:spacing w:lineRule="auto" w:line="288" w:before="0" w:after="240"/>
        <w:jc w:val="center"/>
        <w:rPr>
          <w:rFonts w:ascii="Times New Roman;serif" w:hAnsi="Times New Roman;serif"/>
          <w:b/>
          <w:color w:val="000000"/>
          <w:sz w:val="21"/>
        </w:rPr>
      </w:pPr>
      <w:r>
        <w:rPr>
          <w:rFonts w:ascii="Times New Roman;serif" w:hAnsi="Times New Roman;serif"/>
          <w:b/>
          <w:color w:val="000000"/>
          <w:sz w:val="21"/>
        </w:rPr>
        <w:t>RETENTION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1"/>
        </w:rPr>
        <w:t>This Retention Award Agreement (hereinafter, the “</w:t>
      </w:r>
      <w:r>
        <w:rPr>
          <w:rFonts w:ascii="Times New Roman;serif" w:hAnsi="Times New Roman;serif"/>
          <w:b w:val="false"/>
          <w:color w:val="000000"/>
          <w:sz w:val="21"/>
          <w:u w:val="single"/>
        </w:rPr>
        <w:t>Agreement</w:t>
      </w:r>
      <w:r>
        <w:rPr>
          <w:color w:val="000000"/>
        </w:rPr>
        <w:t>”</w:t>
      </w:r>
      <w:r>
        <w:rPr>
          <w:rFonts w:ascii="Times New Roman;serif" w:hAnsi="Times New Roman;serif"/>
          <w:b w:val="false"/>
          <w:color w:val="000000"/>
          <w:sz w:val="21"/>
        </w:rPr>
        <w:t>) is made by and between McCormick &amp; Company, Inc., its subsidiaries, predecessors, successor, related entities, and affiliates (collectively, the “</w:t>
      </w:r>
      <w:r>
        <w:rPr>
          <w:rFonts w:ascii="Times New Roman;serif" w:hAnsi="Times New Roman;serif"/>
          <w:b w:val="false"/>
          <w:color w:val="000000"/>
          <w:sz w:val="21"/>
          <w:u w:val="single"/>
        </w:rPr>
        <w:t>Company</w:t>
      </w:r>
      <w:r>
        <w:rPr>
          <w:color w:val="000000"/>
        </w:rPr>
        <w:t>”</w:t>
      </w:r>
      <w:r>
        <w:rPr>
          <w:rFonts w:ascii="Times New Roman;serif" w:hAnsi="Times New Roman;serif"/>
          <w:b w:val="false"/>
          <w:color w:val="000000"/>
          <w:sz w:val="21"/>
        </w:rPr>
        <w:t>) and _________ (“</w:t>
      </w:r>
      <w:r>
        <w:rPr>
          <w:rFonts w:ascii="Times New Roman;serif" w:hAnsi="Times New Roman;serif"/>
          <w:b w:val="false"/>
          <w:color w:val="000000"/>
          <w:sz w:val="21"/>
          <w:u w:val="single"/>
        </w:rPr>
        <w:t>Employee</w:t>
      </w:r>
      <w:r>
        <w:rPr>
          <w:color w:val="000000"/>
        </w:rPr>
        <w:t>”</w:t>
      </w:r>
      <w:r>
        <w:rPr>
          <w:rFonts w:ascii="Times New Roman;serif" w:hAnsi="Times New Roman;serif"/>
          <w:b w:val="false"/>
          <w:color w:val="000000"/>
          <w:sz w:val="21"/>
        </w:rPr>
        <w:t>).</w:t>
      </w:r>
    </w:p>
    <w:p>
      <w:pPr>
        <w:pStyle w:val="TextBody"/>
        <w:bidi w:val="0"/>
        <w:spacing w:lineRule="auto" w:line="288" w:before="0" w:after="240"/>
        <w:jc w:val="both"/>
        <w:rPr/>
      </w:pPr>
      <w:r>
        <w:rPr>
          <w:color w:val="000000"/>
        </w:rPr>
        <w:t>    </w:t>
      </w:r>
      <w:r>
        <w:rPr>
          <w:rFonts w:ascii="Times New Roman;serif" w:hAnsi="Times New Roman;serif"/>
          <w:b/>
          <w:color w:val="000000"/>
          <w:sz w:val="21"/>
        </w:rPr>
        <w:t>WHEREAS</w:t>
      </w:r>
      <w:r>
        <w:rPr>
          <w:rFonts w:ascii="Times New Roman;serif" w:hAnsi="Times New Roman;serif"/>
          <w:b w:val="false"/>
          <w:color w:val="000000"/>
          <w:sz w:val="21"/>
        </w:rPr>
        <w:t>, the Company has entered into that certain Agreement and Plan of Merger, dated as of March 31, 2026, by and among the Company, Unilever PLC, Unilever Alpha HoldCo B.V., Sandman Corporation, Morpheus Merger Sub I Corp., and Morpheus Merger Sub II, LLC (the “</w:t>
      </w:r>
      <w:r>
        <w:rPr>
          <w:rFonts w:ascii="Times New Roman;serif" w:hAnsi="Times New Roman;serif"/>
          <w:b w:val="false"/>
          <w:color w:val="000000"/>
          <w:sz w:val="21"/>
          <w:u w:val="single"/>
        </w:rPr>
        <w:t>Merger Agreement</w:t>
      </w:r>
      <w:r>
        <w:rPr>
          <w:color w:val="000000"/>
        </w:rPr>
        <w:t>”</w:t>
      </w:r>
      <w:r>
        <w:rPr>
          <w:rFonts w:ascii="Times New Roman;serif" w:hAnsi="Times New Roman;serif"/>
          <w:b w:val="false"/>
          <w:color w:val="000000"/>
          <w:sz w:val="21"/>
        </w:rPr>
        <w:t>);</w:t>
      </w:r>
    </w:p>
    <w:p>
      <w:pPr>
        <w:pStyle w:val="TextBody"/>
        <w:bidi w:val="0"/>
        <w:spacing w:lineRule="auto" w:line="288" w:before="0" w:after="240"/>
        <w:jc w:val="both"/>
        <w:rPr/>
      </w:pPr>
      <w:r>
        <w:rPr>
          <w:color w:val="000000"/>
        </w:rPr>
        <w:t>    </w:t>
      </w:r>
      <w:r>
        <w:rPr>
          <w:rFonts w:ascii="Times New Roman;serif" w:hAnsi="Times New Roman;serif"/>
          <w:b/>
          <w:color w:val="000000"/>
          <w:sz w:val="21"/>
        </w:rPr>
        <w:t>WHEREAS</w:t>
      </w:r>
      <w:r>
        <w:rPr>
          <w:rFonts w:ascii="Times New Roman;serif" w:hAnsi="Times New Roman;serif"/>
          <w:b w:val="false"/>
          <w:color w:val="000000"/>
          <w:sz w:val="21"/>
        </w:rPr>
        <w:t>, pursuant to the Merger Agreement and subject to the conditions set forth in the Merger Agreement, the Company will combine with Unilever PLC’s foods business, with such foods business surviving as a wholly owned subsidiary of the Company (the “</w:t>
      </w:r>
      <w:r>
        <w:rPr>
          <w:rFonts w:ascii="Times New Roman;serif" w:hAnsi="Times New Roman;serif"/>
          <w:b w:val="false"/>
          <w:color w:val="000000"/>
          <w:sz w:val="21"/>
          <w:u w:val="single"/>
        </w:rPr>
        <w:t>Transaction</w:t>
      </w:r>
      <w:r>
        <w:rPr>
          <w:color w:val="000000"/>
        </w:rPr>
        <w:t>”</w:t>
      </w:r>
      <w:r>
        <w:rPr>
          <w:rFonts w:ascii="Times New Roman;serif" w:hAnsi="Times New Roman;serif"/>
          <w:b w:val="false"/>
          <w:color w:val="000000"/>
          <w:sz w:val="21"/>
        </w:rPr>
        <w:t>);</w:t>
      </w:r>
    </w:p>
    <w:p>
      <w:pPr>
        <w:pStyle w:val="TextBody"/>
        <w:bidi w:val="0"/>
        <w:spacing w:lineRule="auto" w:line="288" w:before="0" w:after="240"/>
        <w:jc w:val="both"/>
        <w:rPr/>
      </w:pPr>
      <w:r>
        <w:rPr>
          <w:color w:val="000000"/>
        </w:rPr>
        <w:t>    </w:t>
      </w:r>
      <w:r>
        <w:rPr>
          <w:rFonts w:ascii="Times New Roman;serif" w:hAnsi="Times New Roman;serif"/>
          <w:b/>
          <w:color w:val="000000"/>
          <w:sz w:val="21"/>
        </w:rPr>
        <w:t>WHEREAS</w:t>
      </w:r>
      <w:r>
        <w:rPr>
          <w:rFonts w:ascii="Times New Roman;serif" w:hAnsi="Times New Roman;serif"/>
          <w:b w:val="false"/>
          <w:color w:val="000000"/>
          <w:sz w:val="21"/>
        </w:rPr>
        <w:t>, the Company has identified Employee as critical to the long-term success of the Company and the Transaction; and</w:t>
      </w:r>
    </w:p>
    <w:p>
      <w:pPr>
        <w:pStyle w:val="TextBody"/>
        <w:bidi w:val="0"/>
        <w:spacing w:lineRule="auto" w:line="288" w:before="0" w:after="240"/>
        <w:jc w:val="both"/>
        <w:rPr/>
      </w:pPr>
      <w:r>
        <w:rPr>
          <w:color w:val="000000"/>
        </w:rPr>
        <w:t>    </w:t>
      </w:r>
      <w:r>
        <w:rPr>
          <w:rFonts w:ascii="Times New Roman;serif" w:hAnsi="Times New Roman;serif"/>
          <w:b/>
          <w:color w:val="000000"/>
          <w:sz w:val="21"/>
        </w:rPr>
        <w:t>WHEREAS</w:t>
      </w:r>
      <w:r>
        <w:rPr>
          <w:rFonts w:ascii="Times New Roman;serif" w:hAnsi="Times New Roman;serif"/>
          <w:b w:val="false"/>
          <w:color w:val="000000"/>
          <w:sz w:val="21"/>
        </w:rPr>
        <w:t>, in connection with the Transaction, the Company wishes to grant Employee a cash retention award equal to _____________ USD (the “</w:t>
      </w:r>
      <w:r>
        <w:rPr>
          <w:rFonts w:ascii="Times New Roman;serif" w:hAnsi="Times New Roman;serif"/>
          <w:b w:val="false"/>
          <w:color w:val="000000"/>
          <w:sz w:val="21"/>
          <w:u w:val="single"/>
        </w:rPr>
        <w:t>Retention Award</w:t>
      </w:r>
      <w:r>
        <w:rPr>
          <w:color w:val="000000"/>
        </w:rPr>
        <w:t>”</w:t>
      </w:r>
      <w:r>
        <w:rPr>
          <w:rFonts w:ascii="Times New Roman;serif" w:hAnsi="Times New Roman;serif"/>
          <w:b w:val="false"/>
          <w:color w:val="000000"/>
          <w:sz w:val="21"/>
        </w:rPr>
        <w:t>), subject to the requirements, conditions, restrictions and limitations set forth herein.</w:t>
      </w:r>
    </w:p>
    <w:p>
      <w:pPr>
        <w:pStyle w:val="TextBody"/>
        <w:bidi w:val="0"/>
        <w:spacing w:lineRule="auto" w:line="288" w:before="0" w:after="240"/>
        <w:jc w:val="both"/>
        <w:rPr/>
      </w:pPr>
      <w:r>
        <w:rPr>
          <w:color w:val="000000"/>
        </w:rPr>
        <w:t>    </w:t>
      </w:r>
      <w:r>
        <w:rPr>
          <w:rFonts w:ascii="Times New Roman;serif" w:hAnsi="Times New Roman;serif"/>
          <w:b/>
          <w:color w:val="000000"/>
          <w:sz w:val="21"/>
        </w:rPr>
        <w:t>NOW THEREFORE</w:t>
      </w:r>
      <w:r>
        <w:rPr>
          <w:rFonts w:ascii="Times New Roman;serif" w:hAnsi="Times New Roman;serif"/>
          <w:b w:val="false"/>
          <w:color w:val="000000"/>
          <w:sz w:val="21"/>
        </w:rPr>
        <w:t>, in consideration of the foregoing promises and for other good and valuable consideration, the receipt and sufficiency of which are hereby mutually acknowledged, the Company and Employee hereby agree as follows:</w:t>
      </w:r>
    </w:p>
    <w:p>
      <w:pPr>
        <w:pStyle w:val="TextBody"/>
        <w:bidi w:val="0"/>
        <w:spacing w:lineRule="auto" w:line="288"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1"/>
          <w:u w:val="single"/>
        </w:rPr>
        <w:t>Retention Award</w:t>
      </w:r>
      <w:r>
        <w:rPr>
          <w:rFonts w:ascii="Times New Roman;serif" w:hAnsi="Times New Roman;serif"/>
          <w:b w:val="false"/>
          <w:color w:val="000000"/>
          <w:sz w:val="21"/>
        </w:rPr>
        <w:t xml:space="preserve">. The Retention Award will vest and be payable in two (2) equal installments as follows, subject to Employee’s continued employment through each such vesting date (other than as set forth in </w:t>
      </w:r>
      <w:r>
        <w:rPr>
          <w:rFonts w:ascii="Times New Roman;serif" w:hAnsi="Times New Roman;serif"/>
          <w:b w:val="false"/>
          <w:color w:val="000000"/>
          <w:sz w:val="21"/>
          <w:u w:val="single"/>
        </w:rPr>
        <w:t>Section 2</w:t>
      </w:r>
      <w:r>
        <w:rPr>
          <w:color w:val="000000"/>
        </w:rPr>
        <w:t xml:space="preserve"> </w:t>
      </w:r>
      <w:r>
        <w:rPr>
          <w:rFonts w:ascii="Times New Roman;serif" w:hAnsi="Times New Roman;serif"/>
          <w:b w:val="false"/>
          <w:color w:val="000000"/>
          <w:sz w:val="21"/>
        </w:rPr>
        <w:t>below) and the other terms and conditions set forth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1"/>
        </w:rPr>
        <w:t>If the Closing Date occurs on or before the Anniversary Date (as defined below), one-half of the Retention Award shall vest on each of: (i) the Closing Date; and (ii) the six (6)-month anniversary of the Closing Date, subject, in each case, to Employee’s continued employment with the Company through each vesting date;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1"/>
        </w:rPr>
        <w:t>If the Closing Date has not occurred prior to the Anniversary Date, one-half of the Retention Award shall vest on each of: (i) the Anniversary Date; and (ii) the six (6)-month anniversary of the Closing Date, subject, in each case, to Employee’s continued employment with the Company through each vesting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1"/>
        </w:rPr>
        <w:t>For purposes of this Agreement, the “</w:t>
      </w:r>
      <w:r>
        <w:rPr>
          <w:rFonts w:ascii="Times New Roman;serif" w:hAnsi="Times New Roman;serif"/>
          <w:b w:val="false"/>
          <w:color w:val="000000"/>
          <w:sz w:val="21"/>
          <w:u w:val="single"/>
        </w:rPr>
        <w:t>Anniversary Date</w:t>
      </w:r>
      <w:r>
        <w:rPr>
          <w:color w:val="000000"/>
        </w:rPr>
        <w:t xml:space="preserve">” </w:t>
      </w:r>
      <w:r>
        <w:rPr>
          <w:rFonts w:ascii="Times New Roman;serif" w:hAnsi="Times New Roman;serif"/>
          <w:b w:val="false"/>
          <w:color w:val="000000"/>
          <w:sz w:val="21"/>
        </w:rPr>
        <w:t>means June 8, 2027, the one-year anniversary of the date hereof.</w:t>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Any vested portion of the Retention Award will be paid to Employee in a lump sum no later than the first regular pay date that occurs following fifteen (15) days following the applicable vesting date.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1"/>
          <w:u w:val="single"/>
        </w:rPr>
        <w:t>Effect of Certain Events</w:t>
      </w:r>
      <w:r>
        <w:rPr>
          <w:rFonts w:ascii="Times New Roman;serif" w:hAnsi="Times New Roman;serif"/>
          <w:b w:val="false"/>
          <w:color w:val="000000"/>
          <w:sz w:val="21"/>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1"/>
        </w:rPr>
        <w:t>If Employee’s employment with the Company is terminated by the Company without “Cause” (as defined below), in each case on or after the Closing Date, then, subject to the Release Requirement (as defined below), any unvested portion of the Retention Award shall fully vest and be paid to Employee in a lump sum no later than fifteen (15) days after the release becomes effective. For purposes of this Agreement, the “</w:t>
      </w:r>
      <w:r>
        <w:rPr>
          <w:rFonts w:ascii="Times New Roman;serif" w:hAnsi="Times New Roman;serif"/>
          <w:b w:val="false"/>
          <w:color w:val="000000"/>
          <w:sz w:val="21"/>
          <w:u w:val="single"/>
        </w:rPr>
        <w:t>Release Requirement</w:t>
      </w:r>
      <w:r>
        <w:rPr>
          <w:color w:val="000000"/>
        </w:rPr>
        <w:t xml:space="preserve">” </w:t>
      </w:r>
      <w:r>
        <w:rPr>
          <w:rFonts w:ascii="Times New Roman;serif" w:hAnsi="Times New Roman;serif"/>
          <w:b w:val="false"/>
          <w:color w:val="000000"/>
          <w:sz w:val="21"/>
        </w:rPr>
        <w:t>means Employee (or Employee’s estate in the event of Employee’s death) has timely executed and delivered to the Company a signed general release of claims in a form provided to Employee and reasonably acceptable to the Company and the release becomes effective and irrevocable within twenty-eight (28) days following the date of Employee’s termination (or such longer period provided by the Company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1"/>
        </w:rPr>
        <w:t>If Employee’s employment with the Company is terminated by reason of death or Disability, then, subject to the Release Requirement, the Retention Award shall fully vest and be paid to Employee in a lump sum no later than fifteen (15) days after the release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1"/>
        </w:rPr>
        <w:t>If Employee’s employment with the Company terminates under any circumstances other than those described above in Sections 2(a) or (b), then Employee’s right to any unvested portion of the Retention Award shall terminate without any payment of consideration by the Company to Employee.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1"/>
        </w:rPr>
        <w:t xml:space="preserve">If the Merger Agreement is terminated in accordance with its terms without the occurrence of the Closing, then, subject to Employee’s timely execution and delivery to the Company of a signed general release of claims in the form provided by the Company and the release becoming effective and irrevocable within twenty-eight (28) days following the date of the termination of the Merger Agreement, Employee will be eligible to receive one-half (1/2) of the Retention Award in a lump sum no later than fifteen (15) days after the release becomes effective.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1"/>
        </w:rPr>
        <w:t xml:space="preserve">If Employee is on an approved leave of absence (excluding vacation leave of less than twenty-one (21) days), the vesting and payment dates set forth in </w:t>
      </w:r>
      <w:r>
        <w:rPr>
          <w:rFonts w:ascii="Times New Roman;serif" w:hAnsi="Times New Roman;serif"/>
          <w:b w:val="false"/>
          <w:color w:val="000000"/>
          <w:sz w:val="21"/>
          <w:u w:val="single"/>
        </w:rPr>
        <w:t>Section 1</w:t>
      </w:r>
      <w:r>
        <w:rPr>
          <w:color w:val="000000"/>
        </w:rPr>
        <w:t xml:space="preserve"> </w:t>
      </w:r>
      <w:r>
        <w:rPr>
          <w:rFonts w:ascii="Times New Roman;serif" w:hAnsi="Times New Roman;serif"/>
          <w:b w:val="false"/>
          <w:color w:val="000000"/>
          <w:sz w:val="21"/>
        </w:rPr>
        <w:t>above shall be extended by the length of such leave of absence, subject to applicable laws.</w:t>
      </w:r>
    </w:p>
    <w:p>
      <w:pPr>
        <w:pStyle w:val="TextBody"/>
        <w:bidi w:val="0"/>
        <w:spacing w:lineRule="auto" w:line="288"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1"/>
          <w:u w:val="single"/>
        </w:rPr>
        <w:t>Definitions</w:t>
      </w:r>
      <w:r>
        <w:rPr>
          <w:rFonts w:ascii="Times New Roman;serif" w:hAnsi="Times New Roman;serif"/>
          <w:b w:val="false"/>
          <w:color w:val="000000"/>
          <w:sz w:val="21"/>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1"/>
          <w:u w:val="single"/>
        </w:rPr>
        <w:t>Cause</w:t>
      </w:r>
      <w:r>
        <w:rPr>
          <w:color w:val="000000"/>
        </w:rPr>
        <w:t xml:space="preserve">” </w:t>
      </w:r>
      <w:r>
        <w:rPr>
          <w:rFonts w:ascii="Times New Roman;serif" w:hAnsi="Times New Roman;serif"/>
          <w:b w:val="false"/>
          <w:color w:val="000000"/>
          <w:sz w:val="21"/>
        </w:rPr>
        <w:t xml:space="preserve">shall mean, as determined by the Company, (i) gross negligence or willful misconduct in connection with the performance of duties; (ii) conviction of, or plea of nolo contendere to, a criminal offense (other than minor traffic offenses); or (iii) material breach of any term of any employment, consulting, or other service, confidentiality, intellectual property, nonsolicitation, or non-competition agreements, if any, between Employee and any McCormick Entity; provided that, if Employee has an individual agreement with a McCormick Entity that includes a definition of “Cause,” the definition of cause in such agreement shall apply with respect to Employee’s rights under this Agreement.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1"/>
        </w:rPr>
        <w:t>this Agreement, “</w:t>
      </w:r>
      <w:r>
        <w:rPr>
          <w:rFonts w:ascii="Times New Roman;serif" w:hAnsi="Times New Roman;serif"/>
          <w:b w:val="false"/>
          <w:color w:val="000000"/>
          <w:sz w:val="21"/>
          <w:u w:val="single"/>
        </w:rPr>
        <w:t>McCormick Entity</w:t>
      </w:r>
      <w:r>
        <w:rPr>
          <w:color w:val="000000"/>
        </w:rPr>
        <w:t xml:space="preserve">” </w:t>
      </w:r>
      <w:r>
        <w:rPr>
          <w:rFonts w:ascii="Times New Roman;serif" w:hAnsi="Times New Roman;serif"/>
          <w:b w:val="false"/>
          <w:color w:val="000000"/>
          <w:sz w:val="21"/>
        </w:rPr>
        <w:t>means the Company and any subsidiary or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1"/>
          <w:u w:val="single"/>
        </w:rPr>
        <w:t>Disability</w:t>
      </w:r>
      <w:r>
        <w:rPr>
          <w:color w:val="000000"/>
        </w:rPr>
        <w:t xml:space="preserve">” </w:t>
      </w:r>
      <w:r>
        <w:rPr>
          <w:rFonts w:ascii="Times New Roman;serif" w:hAnsi="Times New Roman;serif"/>
          <w:b w:val="false"/>
          <w:color w:val="000000"/>
          <w:sz w:val="21"/>
        </w:rPr>
        <w:t>shall mean (i) if Employee participates in the Company’s long-term disability plan, “Totally and Permanently Disabled” within the meaning of the Company’s long-term disability plan; and (ii) if Employee does not participate in the Company’s long-term disability plan, the inability of Employee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Company on the basis of such medical evidence as the Company deems warranted under the circumstances.</w:t>
      </w:r>
    </w:p>
    <w:p>
      <w:pPr>
        <w:pStyle w:val="TextBody"/>
        <w:bidi w:val="0"/>
        <w:spacing w:lineRule="auto" w:line="288"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1"/>
          <w:u w:val="single"/>
        </w:rPr>
        <w:t>At-Will Employment</w:t>
      </w:r>
      <w:r>
        <w:rPr>
          <w:rFonts w:ascii="Times New Roman;serif" w:hAnsi="Times New Roman;serif"/>
          <w:b w:val="false"/>
          <w:color w:val="000000"/>
          <w:sz w:val="21"/>
        </w:rPr>
        <w:t xml:space="preserve">. Nothing in this Agreement alters the at-will nature of Employee’s employment with the Company. This Agreement is not, and shall not be construed as, a contract for employment. </w:t>
      </w:r>
    </w:p>
    <w:p>
      <w:pPr>
        <w:pStyle w:val="TextBody"/>
        <w:bidi w:val="0"/>
        <w:spacing w:lineRule="auto" w:line="288"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1"/>
          <w:u w:val="single"/>
        </w:rPr>
        <w:t>Taxes</w:t>
      </w:r>
      <w:r>
        <w:rPr>
          <w:rFonts w:ascii="Times New Roman;serif" w:hAnsi="Times New Roman;serif"/>
          <w:b w:val="false"/>
          <w:color w:val="000000"/>
          <w:sz w:val="21"/>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1"/>
        </w:rPr>
        <w:t>The Company reserves the right to withhold an amount of the Retention Award at each applicable payment date in order to satisfy applicable tax withholding requirements or otherwise as required by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1"/>
        </w:rPr>
        <w:t>The Retention Award is intended to qualify for the “short-term deferral” exception under Section 409A of the Internal Revenue Code of 1986, as amended (the “</w:t>
      </w:r>
      <w:r>
        <w:rPr>
          <w:rFonts w:ascii="Times New Roman;serif" w:hAnsi="Times New Roman;serif"/>
          <w:b w:val="false"/>
          <w:color w:val="000000"/>
          <w:sz w:val="21"/>
          <w:u w:val="single"/>
        </w:rPr>
        <w:t>Code</w:t>
      </w:r>
      <w:r>
        <w:rPr>
          <w:color w:val="000000"/>
        </w:rPr>
        <w:t>”</w:t>
      </w:r>
      <w:r>
        <w:rPr>
          <w:rFonts w:ascii="Times New Roman;serif" w:hAnsi="Times New Roman;serif"/>
          <w:b w:val="false"/>
          <w:color w:val="000000"/>
          <w:sz w:val="21"/>
        </w:rPr>
        <w:t>), and this Agreement shall be interpreted, construed and administered in a manner that reflects this intention.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1"/>
        </w:rPr>
        <w:t>In the event the execution and non-revocation of the release of claims straddles two (2) calendar years, such release will be deemed to have become effective (and payments will commence) on the second calendar year, regardless of when such release is actually executed.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1"/>
        </w:rPr>
        <w:t>In the event of a change in ownership or control under Section 280G of the Code, if it shall be determined that any payment or distribution in the nature of compensation (within the meaning of Section 280G(b)(2) of the Code) to or for the benefit of Employee, whether paid or payable or distributed or distributable pursuant to the terms of this Agreement or otherwise (a “</w:t>
      </w:r>
      <w:r>
        <w:rPr>
          <w:rFonts w:ascii="Times New Roman;serif" w:hAnsi="Times New Roman;serif"/>
          <w:b w:val="false"/>
          <w:color w:val="000000"/>
          <w:sz w:val="21"/>
          <w:u w:val="single"/>
        </w:rPr>
        <w:t>Payment</w:t>
      </w:r>
      <w:r>
        <w:rPr>
          <w:color w:val="000000"/>
        </w:rPr>
        <w:t>”</w:t>
      </w:r>
      <w:r>
        <w:rPr>
          <w:rFonts w:ascii="Times New Roman;serif" w:hAnsi="Times New Roman;serif"/>
          <w:b w:val="false"/>
          <w:color w:val="000000"/>
          <w:sz w:val="21"/>
        </w:rPr>
        <w:t xml:space="preserve">), would constitute an “excess parachute payment” within the meaning of Section 280G of the Code, the aggregate present value of the Payments under the Agreement shall be reduced (but not below zero) to the Reduced Amount (defined below) if and only if the Accounting Firm (defined below) determines that the reduction will provide Employee with a greater net after-tax benefit than would no reduction. No reduction shall be made unless the reduction would provide Employee with a greater net after-tax benefit. The determinations under this </w:t>
      </w:r>
      <w:r>
        <w:rPr>
          <w:rFonts w:ascii="Times New Roman;serif" w:hAnsi="Times New Roman;serif"/>
          <w:b w:val="false"/>
          <w:color w:val="000000"/>
          <w:sz w:val="21"/>
          <w:u w:val="single"/>
        </w:rPr>
        <w:t>Section 5(d)</w:t>
      </w:r>
      <w:r>
        <w:rPr>
          <w:color w:val="000000"/>
        </w:rPr>
        <w:t xml:space="preserve"> </w:t>
      </w:r>
      <w:r>
        <w:rPr>
          <w:rFonts w:ascii="Times New Roman;serif" w:hAnsi="Times New Roman;serif"/>
          <w:b w:val="false"/>
          <w:color w:val="000000"/>
          <w:sz w:val="21"/>
        </w:rPr>
        <w:t>shall be made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1"/>
        </w:rPr>
        <w:t>The “</w:t>
      </w:r>
      <w:r>
        <w:rPr>
          <w:rFonts w:ascii="Times New Roman;serif" w:hAnsi="Times New Roman;serif"/>
          <w:b w:val="false"/>
          <w:color w:val="000000"/>
          <w:sz w:val="21"/>
          <w:u w:val="single"/>
        </w:rPr>
        <w:t>Reduced Amount</w:t>
      </w:r>
      <w:r>
        <w:rPr>
          <w:color w:val="000000"/>
        </w:rPr>
        <w:t xml:space="preserve">” </w:t>
      </w:r>
      <w:r>
        <w:rPr>
          <w:rFonts w:ascii="Times New Roman;serif" w:hAnsi="Times New Roman;serif"/>
          <w:b w:val="false"/>
          <w:color w:val="000000"/>
          <w:sz w:val="21"/>
        </w:rPr>
        <w:t>shall be an amount expressed in present value which maximizes the aggregate present value of the Payments without causing any Payment to be subject to the Excise Tax (defined below), determined in accordance with Section 280G(d)(4) of the Code. The term “</w:t>
      </w:r>
      <w:r>
        <w:rPr>
          <w:rFonts w:ascii="Times New Roman;serif" w:hAnsi="Times New Roman;serif"/>
          <w:b w:val="false"/>
          <w:color w:val="000000"/>
          <w:sz w:val="21"/>
          <w:u w:val="single"/>
        </w:rPr>
        <w:t>Excise Tax</w:t>
      </w:r>
      <w:r>
        <w:rPr>
          <w:color w:val="000000"/>
        </w:rPr>
        <w:t xml:space="preserve">” </w:t>
      </w:r>
      <w:r>
        <w:rPr>
          <w:rFonts w:ascii="Times New Roman;serif" w:hAnsi="Times New Roman;serif"/>
          <w:b w:val="false"/>
          <w:color w:val="000000"/>
          <w:sz w:val="21"/>
        </w:rPr>
        <w:t>means the excise tax imposed under Section 4999 of the Code, together with any interest or penalties imposed with respect to such excise tax.</w:t>
      </w:r>
    </w:p>
    <w:p>
      <w:pPr>
        <w:pStyle w:val="TextBody"/>
        <w:bidi w:val="0"/>
        <w:spacing w:lineRule="auto" w:line="288"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1"/>
        </w:rPr>
        <w:t>Payments shall be reduced on a nondiscretionary basis in such a way as to minimize the reduction in the economic value deliverable to Employee.</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1"/>
        </w:rPr>
        <w:t>All determinations to be made under this Section shall be made by __________________ (the “</w:t>
      </w:r>
      <w:r>
        <w:rPr>
          <w:rFonts w:ascii="Times New Roman;serif" w:hAnsi="Times New Roman;serif"/>
          <w:b w:val="false"/>
          <w:color w:val="000000"/>
          <w:sz w:val="21"/>
          <w:u w:val="single"/>
        </w:rPr>
        <w:t>Accounting Firm</w:t>
      </w:r>
      <w:r>
        <w:rPr>
          <w:color w:val="000000"/>
        </w:rPr>
        <w:t>”</w:t>
      </w:r>
      <w:r>
        <w:rPr>
          <w:rFonts w:ascii="Times New Roman;serif" w:hAnsi="Times New Roman;serif"/>
          <w:b w:val="false"/>
          <w:color w:val="000000"/>
          <w:sz w:val="21"/>
        </w:rPr>
        <w:t xml:space="preserve">). Any such determination by the Accounting Firm shall be binding upon the Company and Employee. All of the fees and expenses of the Accounting Firm in performing the determinations referred to in this </w:t>
      </w:r>
      <w:r>
        <w:rPr>
          <w:rFonts w:ascii="Times New Roman;serif" w:hAnsi="Times New Roman;serif"/>
          <w:b w:val="false"/>
          <w:color w:val="000000"/>
          <w:sz w:val="21"/>
          <w:u w:val="single"/>
        </w:rPr>
        <w:t>Section 5(d)</w:t>
      </w:r>
      <w:r>
        <w:rPr>
          <w:color w:val="000000"/>
        </w:rPr>
        <w:t xml:space="preserve"> </w:t>
      </w:r>
      <w:r>
        <w:rPr>
          <w:rFonts w:ascii="Times New Roman;serif" w:hAnsi="Times New Roman;serif"/>
          <w:b w:val="false"/>
          <w:color w:val="000000"/>
          <w:sz w:val="21"/>
        </w:rPr>
        <w:t>shall be borne solely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1"/>
          <w:u w:val="single"/>
        </w:rPr>
        <w:t>Confidentiality</w:t>
      </w:r>
      <w:r>
        <w:rPr>
          <w:rFonts w:ascii="Times New Roman;serif" w:hAnsi="Times New Roman;serif"/>
          <w:b w:val="false"/>
          <w:color w:val="000000"/>
          <w:sz w:val="21"/>
        </w:rPr>
        <w:t xml:space="preserve">. Subject to applicable law, the terms of this Agreement are confidential, and are intended to remain strictly confidential. By signing this Agreement, to the maximum extent permitted by applicable law, Employee covenants not to disclose any of the terms of this Agreement, whether generally or specifically, to any third party, except as may be required by order of a court of competent jurisdiction. Nothing in this Agreement shall impair Employee’s rights under the whistleblower provisions of any applicable federal law or regulation (including Section 21F of the Securities Exchange Act of 1934) to report possible violations of law or regulation directly to, or to respond to any inquiry from, any governmental agency or entity under any whistleblower protection provision of U.S. federal or state law or regulation or, for the avoidance of doubt, limit Employee’s right to receive an award for the information provided to any government authority under such law or regulation. </w:t>
      </w:r>
    </w:p>
    <w:p>
      <w:pPr>
        <w:pStyle w:val="TextBody"/>
        <w:bidi w:val="0"/>
        <w:spacing w:lineRule="auto" w:line="288"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1"/>
          <w:u w:val="single"/>
        </w:rPr>
        <w:t>Effect on Other Benefits</w:t>
      </w:r>
      <w:r>
        <w:rPr>
          <w:rFonts w:ascii="Times New Roman;serif" w:hAnsi="Times New Roman;serif"/>
          <w:b w:val="false"/>
          <w:color w:val="000000"/>
          <w:sz w:val="21"/>
        </w:rPr>
        <w:t>. Employee acknowledges that the Retention Award is not part of, and will not be taken into account in computing the amount of, normal or expected compensation for purposes of calculating any severance, resignation, redundancy, end of service payments, bonuses, long-service awards, pension or retirement benefits, or similar payments.</w:t>
      </w:r>
    </w:p>
    <w:p>
      <w:pPr>
        <w:pStyle w:val="TextBody"/>
        <w:bidi w:val="0"/>
        <w:spacing w:lineRule="auto" w:line="288"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1"/>
          <w:u w:val="single"/>
        </w:rPr>
        <w:t>No Mitigation; No Set-Off</w:t>
      </w:r>
      <w:r>
        <w:rPr>
          <w:rFonts w:ascii="Times New Roman;serif" w:hAnsi="Times New Roman;serif"/>
          <w:b w:val="false"/>
          <w:color w:val="000000"/>
          <w:sz w:val="21"/>
        </w:rPr>
        <w:t>. In no event shall Employee be obligated to seek other employment or take any other action by way of mitigation of the amounts payable to Employee under any of the provisions of this Agreement, and such amounts shall not be reduced regardless of whether Employee obtains other employment.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Employee or others.</w:t>
      </w:r>
    </w:p>
    <w:p>
      <w:pPr>
        <w:pStyle w:val="TextBody"/>
        <w:bidi w:val="0"/>
        <w:spacing w:lineRule="auto" w:line="288"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1"/>
          <w:u w:val="single"/>
        </w:rPr>
        <w:t>Severability</w:t>
      </w:r>
      <w:r>
        <w:rPr>
          <w:rFonts w:ascii="Times New Roman;serif" w:hAnsi="Times New Roman;serif"/>
          <w:b w:val="false"/>
          <w:color w:val="000000"/>
          <w:sz w:val="21"/>
        </w:rPr>
        <w:t xml:space="preserve">. If any term or provision of this Agreement shall to any extent be determined by a court of competent jurisdiction to be invalid or unenforceable,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remainder of this Agreement shall not be affected thereby, and each term and provision of this Agreement shall be valid and enforceable to the fullest extent permitted by law.</w:t>
      </w:r>
    </w:p>
    <w:p>
      <w:pPr>
        <w:pStyle w:val="TextBody"/>
        <w:bidi w:val="0"/>
        <w:spacing w:lineRule="auto" w:line="288"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1"/>
          <w:u w:val="single"/>
        </w:rPr>
        <w:t>Assignment; Successors</w:t>
      </w:r>
      <w:r>
        <w:rPr>
          <w:rFonts w:ascii="Times New Roman;serif" w:hAnsi="Times New Roman;serif"/>
          <w:b w:val="false"/>
          <w:color w:val="000000"/>
          <w:sz w:val="21"/>
        </w:rPr>
        <w:t>. Employee shall not have any right to assign, delegate, or transfer this Agreement or any of Employee’s rights or obligations under this Agreement. This Agreement and any rights and benefits hereunder will inure to the benefit of and be binding upon the Company and its successors and assigns.</w:t>
      </w:r>
    </w:p>
    <w:p>
      <w:pPr>
        <w:pStyle w:val="TextBody"/>
        <w:bidi w:val="0"/>
        <w:spacing w:lineRule="auto" w:line="288"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1"/>
          <w:u w:val="single"/>
        </w:rPr>
        <w:t>Governing Law</w:t>
      </w:r>
      <w:r>
        <w:rPr>
          <w:rFonts w:ascii="Times New Roman;serif" w:hAnsi="Times New Roman;serif"/>
          <w:b w:val="false"/>
          <w:color w:val="000000"/>
          <w:sz w:val="21"/>
        </w:rPr>
        <w:t>. This Agreement shall be governed by and interpreted in accordance with the laws of the State of Maryland without regard to any conflict of law provisions of any State that would cause the application of the laws of any jurisdiction other than the State of Maryland. The parties agree that any suit or proceeding arising under this Agreement shall be brought in the United States District Court for the District of Maryland or for the district in which the Company is headquartered.</w:t>
      </w:r>
    </w:p>
    <w:p>
      <w:pPr>
        <w:pStyle w:val="TextBody"/>
        <w:bidi w:val="0"/>
        <w:spacing w:lineRule="auto" w:line="288" w:before="0" w:after="240"/>
        <w:jc w:val="center"/>
        <w:rPr/>
      </w:pPr>
      <w:r>
        <w:rPr>
          <w:rFonts w:ascii="Times New Roman;serif" w:hAnsi="Times New Roman;serif"/>
          <w:b/>
          <w:color w:val="000000"/>
          <w:sz w:val="22"/>
        </w:rPr>
        <w:t>12.</w:t>
      </w:r>
      <w:r>
        <w:rPr>
          <w:rFonts w:ascii="Times New Roman;serif" w:hAnsi="Times New Roman;serif"/>
          <w:b/>
          <w:color w:val="000000"/>
          <w:sz w:val="21"/>
          <w:u w:val="single"/>
        </w:rPr>
        <w:t>Entire Agreement</w:t>
      </w:r>
      <w:r>
        <w:rPr>
          <w:rFonts w:ascii="Times New Roman;serif" w:hAnsi="Times New Roman;serif"/>
          <w:b w:val="false"/>
          <w:color w:val="000000"/>
          <w:sz w:val="21"/>
        </w:rPr>
        <w:t>. This Agreement contains the entire understanding and agreement between the parties on the subject matter contained herein. This Agreement replaces and supersedes all prior discussions, negotiations, and agreements—oral and written—on the subject matter of these documents. The terms of this Agreement may not be amended or modified except upon the express written and signed consent of the parties.</w:t>
      </w:r>
    </w:p>
    <w:p>
      <w:pPr>
        <w:pStyle w:val="TextBody"/>
        <w:bidi w:val="0"/>
        <w:spacing w:before="0" w:after="120"/>
        <w:jc w:val="center"/>
        <w:rPr/>
      </w:pPr>
      <w:r>
        <w:rPr/>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1"/>
        </w:rPr>
      </w:pPr>
      <w:r>
        <w:rPr>
          <w:rFonts w:ascii="Times New Roman;serif" w:hAnsi="Times New Roman;serif"/>
          <w:b w:val="false"/>
          <w:color w:val="000000"/>
          <w:sz w:val="21"/>
        </w:rPr>
        <w:t xml:space="preserve">This Agreement has been delivered to Employee pursuant to authority granted to the Chief Executive Officer of the Company and his designees and is being accepted and will be effective only upon execution by the signature of Employee and timely delivery to the Company by _________. </w:t>
      </w:r>
    </w:p>
    <w:p>
      <w:pPr>
        <w:pStyle w:val="TextBody"/>
        <w:bidi w:val="0"/>
        <w:spacing w:lineRule="auto" w:line="288" w:before="0" w:after="120"/>
        <w:jc w:val="both"/>
        <w:rPr>
          <w:rFonts w:ascii="Times New Roman;serif" w:hAnsi="Times New Roman;serif"/>
          <w:b/>
          <w:color w:val="000000"/>
          <w:sz w:val="21"/>
        </w:rPr>
      </w:pPr>
      <w:r>
        <w:rPr>
          <w:rFonts w:ascii="Times New Roman;serif" w:hAnsi="Times New Roman;serif"/>
          <w:b/>
          <w:color w:val="000000"/>
          <w:sz w:val="21"/>
        </w:rPr>
        <w:t>By Employee’s signature below, Employee is acknowledging that Employee has read this document carefully.</w:t>
      </w:r>
    </w:p>
    <w:p>
      <w:pPr>
        <w:pStyle w:val="TextBody"/>
        <w:bidi w:val="0"/>
        <w:spacing w:before="0" w:after="12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1"/>
        </w:rPr>
        <w:t xml:space="preserve">McCormick &amp; Company, Inc., </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1"/>
        </w:rPr>
      </w:pPr>
      <w:r>
        <w:rPr>
          <w:rFonts w:ascii="Times New Roman;serif" w:hAnsi="Times New Roman;serif"/>
          <w:b w:val="false"/>
          <w:color w:val="000000"/>
          <w:sz w:val="21"/>
        </w:rPr>
        <w:t>_________________________        _________________________</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1"/>
        </w:rPr>
      </w:pPr>
      <w:r>
        <w:rPr>
          <w:rFonts w:ascii="Times New Roman;serif" w:hAnsi="Times New Roman;serif"/>
          <w:b w:val="false"/>
          <w:color w:val="000000"/>
          <w:sz w:val="21"/>
        </w:rPr>
        <w:t>By: _______________________        By: ______________________</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1"/>
        </w:rPr>
      </w:pPr>
      <w:r>
        <w:rPr>
          <w:rFonts w:ascii="Times New Roman;serif" w:hAnsi="Times New Roman;serif"/>
          <w:b w:val="false"/>
          <w:color w:val="000000"/>
          <w:sz w:val="21"/>
        </w:rPr>
        <w:t>Date: ______________________        Date: 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13a-14(a)/15d-14(a)</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Brendan M. Foley,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McCormick &amp; Company, Incorporated (the “registrant”);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850" w:type="dxa"/>
        <w:jc w:val="left"/>
        <w:tblInd w:w="0" w:type="dxa"/>
        <w:tblLayout w:type="fixed"/>
        <w:tblCellMar>
          <w:top w:w="28" w:type="dxa"/>
          <w:left w:w="28" w:type="dxa"/>
          <w:bottom w:w="28" w:type="dxa"/>
          <w:right w:w="28" w:type="dxa"/>
        </w:tblCellMar>
      </w:tblPr>
      <w:tblGrid>
        <w:gridCol w:w="689"/>
        <w:gridCol w:w="606"/>
        <w:gridCol w:w="610"/>
        <w:gridCol w:w="1155"/>
        <w:gridCol w:w="1155"/>
        <w:gridCol w:w="16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Brendan M. Foley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Brendan M. Foley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&amp;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13a-14(a)/15d-14(a)</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Marcos M. Gabriel, certify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McCormick &amp; Company, Incorporated (the “registrant”);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194" w:type="dxa"/>
        <w:jc w:val="left"/>
        <w:tblInd w:w="0" w:type="dxa"/>
        <w:tblLayout w:type="fixed"/>
        <w:tblCellMar>
          <w:top w:w="28" w:type="dxa"/>
          <w:left w:w="28" w:type="dxa"/>
          <w:bottom w:w="28" w:type="dxa"/>
          <w:right w:w="28" w:type="dxa"/>
        </w:tblCellMar>
      </w:tblPr>
      <w:tblGrid>
        <w:gridCol w:w="689"/>
        <w:gridCol w:w="606"/>
        <w:gridCol w:w="610"/>
        <w:gridCol w:w="1253"/>
        <w:gridCol w:w="1253"/>
        <w:gridCol w:w="1783"/>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Marcos M. Gabriel</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Marcos M. Gabriel</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McCormick &amp; Company, Incorporated (the “Company”) on Form 10-Q for the period ending August 31, 2026, as filed with the Securities and Exchange Commission on the date hereof (the “Report”), I, Brendan M. Foley, Chairman, President &amp; Chief Executive Officer of the Company, certify, pursuant to 18 U.S.C. section 1350, as adopted pursuant to section 906 of the Sarbanes-Oxley Act of 2002, that:</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180" w:after="283"/>
        <w:ind w:left="0" w:right="0" w:hanging="270"/>
        <w:jc w:val="left"/>
        <w:rPr/>
      </w:pPr>
      <w:r>
        <w:rPr/>
      </w:r>
    </w:p>
    <w:p>
      <w:pPr>
        <w:pStyle w:val="TextBody"/>
        <w:bidi w:val="0"/>
        <w:spacing w:lineRule="auto" w:line="288" w:before="0" w:after="0"/>
        <w:jc w:val="left"/>
        <w:rPr>
          <w:color w:val="000000"/>
        </w:rPr>
      </w:pPr>
      <w:r>
        <w:rPr>
          <w:color w:val="000000"/>
        </w:rPr>
        <w:t> </w:t>
      </w:r>
    </w:p>
    <w:tbl>
      <w:tblPr>
        <w:tblW w:w="5850" w:type="dxa"/>
        <w:jc w:val="left"/>
        <w:tblInd w:w="0" w:type="dxa"/>
        <w:tblLayout w:type="fixed"/>
        <w:tblCellMar>
          <w:top w:w="28" w:type="dxa"/>
          <w:left w:w="28" w:type="dxa"/>
          <w:bottom w:w="28" w:type="dxa"/>
          <w:right w:w="28" w:type="dxa"/>
        </w:tblCellMar>
      </w:tblPr>
      <w:tblGrid>
        <w:gridCol w:w="689"/>
        <w:gridCol w:w="606"/>
        <w:gridCol w:w="610"/>
        <w:gridCol w:w="1155"/>
        <w:gridCol w:w="1155"/>
        <w:gridCol w:w="16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Brendan M. Foley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Brendan M. Foley</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&amp; Chief Executive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McCormick &amp; Company, Incorporated (the “Company”) on Form 10-Q for the period ending August 31, 2026, as filed with the Securities and Exchange Commission on the date hereof (the “Report”), I, Marcos M. Gabriel, Executive Vice President &amp; Chief Financial Officer of the Company,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180" w:after="283"/>
        <w:ind w:left="0" w:right="0" w:hanging="270"/>
        <w:jc w:val="left"/>
        <w:rPr/>
      </w:pPr>
      <w:r>
        <w:rPr/>
      </w:r>
    </w:p>
    <w:p>
      <w:pPr>
        <w:pStyle w:val="TextBody"/>
        <w:bidi w:val="0"/>
        <w:spacing w:lineRule="auto" w:line="288" w:before="0" w:after="0"/>
        <w:jc w:val="left"/>
        <w:rPr>
          <w:color w:val="000000"/>
        </w:rPr>
      </w:pPr>
      <w:r>
        <w:rPr>
          <w:color w:val="000000"/>
        </w:rPr>
        <w:t> </w:t>
      </w:r>
    </w:p>
    <w:tbl>
      <w:tblPr>
        <w:tblW w:w="6195" w:type="dxa"/>
        <w:jc w:val="left"/>
        <w:tblInd w:w="0" w:type="dxa"/>
        <w:tblLayout w:type="fixed"/>
        <w:tblCellMar>
          <w:top w:w="28" w:type="dxa"/>
          <w:left w:w="28" w:type="dxa"/>
          <w:bottom w:w="28" w:type="dxa"/>
          <w:right w:w="28" w:type="dxa"/>
        </w:tblCellMar>
      </w:tblPr>
      <w:tblGrid>
        <w:gridCol w:w="689"/>
        <w:gridCol w:w="606"/>
        <w:gridCol w:w="610"/>
        <w:gridCol w:w="1257"/>
        <w:gridCol w:w="1257"/>
        <w:gridCol w:w="177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Marcos M. Gabriel</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Marcos M. Gabriel</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&amp; 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3754/000199937126007673/ex2-1.htm" TargetMode="External"/><Relationship Id="rId3" Type="http://schemas.openxmlformats.org/officeDocument/2006/relationships/hyperlink" Target="https://www.sec.gov/Archives/edgar/data/63754/000199937126007673/ex2-2.htm" TargetMode="External"/><Relationship Id="rId4" Type="http://schemas.openxmlformats.org/officeDocument/2006/relationships/hyperlink" Target="https://www.sec.gov/Archives/edgar/data/63754/000199937126009633/ex2-1.htm" TargetMode="External"/><Relationship Id="rId5" Type="http://schemas.openxmlformats.org/officeDocument/2006/relationships/hyperlink" Target="https://www.sec.gov/Archives/edgar/data/63754/000104746903010744/a2106508zex-4.htm" TargetMode="External"/><Relationship Id="rId6" Type="http://schemas.openxmlformats.org/officeDocument/2006/relationships/hyperlink" Target="https://www.sec.gov/Archives/edgar/data/63754/000006375421000120/mkc-5312021xexhibit3i.htm" TargetMode="External"/><Relationship Id="rId7" Type="http://schemas.openxmlformats.org/officeDocument/2006/relationships/hyperlink" Target="https://www.sec.gov/Archives/edgar/data/63754/000006375419000197/by-lawsxamendment11262.htm" TargetMode="External"/><Relationship Id="rId8" Type="http://schemas.openxmlformats.org/officeDocument/2006/relationships/hyperlink" Target="https://www.sec.gov/Archives/edgar/data/63754/000091205701535224/a2060832zex-4_1.txt" TargetMode="External"/><Relationship Id="rId9" Type="http://schemas.openxmlformats.org/officeDocument/2006/relationships/hyperlink" Target="https://www.sec.gov/Archives/edgar/data/63754/000119312511185096/dex41.htm" TargetMode="External"/><Relationship Id="rId10" Type="http://schemas.openxmlformats.org/officeDocument/2006/relationships/hyperlink" Target="https://www.sec.gov/Archives/edgar/data/63754/000119312517255976/d438862dex44.htm" TargetMode="External"/><Relationship Id="rId11" Type="http://schemas.openxmlformats.org/officeDocument/2006/relationships/hyperlink" Target="https://www.sec.gov/Archives/edgar/data/63754/000119312517255976/d438862dex45.htm" TargetMode="External"/><Relationship Id="rId12" Type="http://schemas.openxmlformats.org/officeDocument/2006/relationships/hyperlink" Target="https://www.sec.gov/Archives/edgar/data/63754/000119312520109283/d914567dex42.htm" TargetMode="External"/><Relationship Id="rId13" Type="http://schemas.openxmlformats.org/officeDocument/2006/relationships/hyperlink" Target="https://www.sec.gov/Archives/edgar/data/63754/000119312521038393/d126576dex43.htm" TargetMode="External"/><Relationship Id="rId14" Type="http://schemas.openxmlformats.org/officeDocument/2006/relationships/hyperlink" Target="https://www.sec.gov/Archives/edgar/data/63754/000119312523094010/d490179dex42.htm" TargetMode="External"/><Relationship Id="rId15" Type="http://schemas.openxmlformats.org/officeDocument/2006/relationships/hyperlink" Target="https://www.sec.gov/Archives/edgar/data/63754/000119312524234390/d869386dex42.htm" TargetMode="External"/><Relationship Id="rId16" Type="http://schemas.openxmlformats.org/officeDocument/2006/relationships/hyperlink" Target="https://www.sec.gov/Archives/edgar/data/63754/000119312526039410/d84332dex42.htm" TargetMode="External"/><Relationship Id="rId17" Type="http://schemas.openxmlformats.org/officeDocument/2006/relationships/hyperlink" Target="https://www.sec.gov/Archives/edgar/data/63754/000006375422000005/mkc-11302021xex4xiiidescri.htm" TargetMode="External"/><Relationship Id="rId18" Type="http://schemas.openxmlformats.org/officeDocument/2006/relationships/hyperlink" Target="https://www.sec.gov/Archives/edgar/data/63754/000110465903022728/a03-3846_1ex10dviii.htm" TargetMode="External"/><Relationship Id="rId19" Type="http://schemas.openxmlformats.org/officeDocument/2006/relationships/hyperlink" Target="https://www.sec.gov/Archives/edgar/data/63754/000110465904004446/a04-2106_1def14a.htm" TargetMode="External"/><Relationship Id="rId20" Type="http://schemas.openxmlformats.org/officeDocument/2006/relationships/hyperlink" Target="https://www.sec.gov/Archives/edgar/data/63754/000006375417000020/mkc-2282017xex10.htm" TargetMode="External"/><Relationship Id="rId21" Type="http://schemas.openxmlformats.org/officeDocument/2006/relationships/hyperlink" Target="https://www.sec.gov/Archives/edgar/data/63754/000120677408000339/exhibit99-a.htm" TargetMode="External"/><Relationship Id="rId22" Type="http://schemas.openxmlformats.org/officeDocument/2006/relationships/hyperlink" Target="https://www.sec.gov/Archives/edgar/data/63754/000130817919000003/lmkc2019_def14a.htm" TargetMode="External"/><Relationship Id="rId23" Type="http://schemas.openxmlformats.org/officeDocument/2006/relationships/hyperlink" Target="https://www.sec.gov/Archives/edgar/data/63754/000130817922000010/lmkc2022_def14a.htm" TargetMode="External"/><Relationship Id="rId24" Type="http://schemas.openxmlformats.org/officeDocument/2006/relationships/hyperlink" Target="https://www.sec.gov/Archives/edgar/data/63754/000006375422000038/exhibit10vii-2022omnibuspl.htm" TargetMode="External"/><Relationship Id="rId25" Type="http://schemas.openxmlformats.org/officeDocument/2006/relationships/hyperlink" Target="https://www.sec.gov/Archives/edgar/data/63754/000006375422000026/ltppformawardagreementfo.htm" TargetMode="External"/><Relationship Id="rId26" Type="http://schemas.openxmlformats.org/officeDocument/2006/relationships/hyperlink" Target="https://www.sec.gov/Archives/edgar/data/63754/000006375422000026/a2022rsuagreementforexec.htm" TargetMode="External"/><Relationship Id="rId27" Type="http://schemas.openxmlformats.org/officeDocument/2006/relationships/hyperlink" Target="https://www.sec.gov/Archives/edgar/data/63754/000006375422000026/a2022rsuagreementfordire.htm" TargetMode="External"/><Relationship Id="rId28" Type="http://schemas.openxmlformats.org/officeDocument/2006/relationships/hyperlink" Target="https://www.sec.gov/Archives/edgar/data/63754/000006375422000026/a2022nqsoagreementforexe.htm" TargetMode="External"/><Relationship Id="rId29" Type="http://schemas.openxmlformats.org/officeDocument/2006/relationships/hyperlink" Target="https://www.sec.gov/Archives/edgar/data/63754/000006375422000026/a2022nqsoagreementfordir.htm" TargetMode="External"/><Relationship Id="rId30" Type="http://schemas.openxmlformats.org/officeDocument/2006/relationships/hyperlink" Target="https://www.sec.gov/Archives/edgar/data/63754/000006375424000057/mkc-05312024xex1012.htm" TargetMode="External"/><Relationship Id="rId31" Type="http://schemas.openxmlformats.org/officeDocument/2006/relationships/hyperlink" Target="https://www.sec.gov/Archives/edgar/data/63754/000006375424000057/mkc-05312024xex1014.htm" TargetMode="External"/><Relationship Id="rId32" Type="http://schemas.openxmlformats.org/officeDocument/2006/relationships/hyperlink" Target="https://www.sec.gov/Archives/edgar/data/63754/000006375414000013/mkc-2282014xex1015.htm" TargetMode="External"/><Relationship Id="rId33" Type="http://schemas.openxmlformats.org/officeDocument/2006/relationships/hyperlink" Target="https://www.sec.gov/Archives/edgar/data/63754/000006375415000030/mkc-2282015xex10xix.htm" TargetMode="External"/><Relationship Id="rId34" Type="http://schemas.openxmlformats.org/officeDocument/2006/relationships/hyperlink" Target="https://www.sec.gov/Archives/edgar/data/63754/000199937126007673/ex10-1.htm" TargetMode="External"/><Relationship Id="rId35" Type="http://schemas.openxmlformats.org/officeDocument/2006/relationships/hyperlink" Target="https://www.sec.gov/Archives/edgar/data/63754/000006375425000005/mkc-11302024xex19.htm" TargetMode="External"/><Relationship Id="rId36" Type="http://schemas.openxmlformats.org/officeDocument/2006/relationships/hyperlink" Target="https://www.sec.gov/Archives/edgar/data/63754/000006375424000027/mkc-11302023xex97.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33098</Words>
  <Characters>182830</Characters>
  <CharactersWithSpaces>214067</CharactersWithSpaces>
  <Paragraphs>3731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